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9114E" w14:textId="77777777" w:rsidR="00AC65F7" w:rsidRDefault="00443988" w:rsidP="00443988">
      <w:pPr>
        <w:jc w:val="center"/>
        <w:rPr>
          <w:b/>
          <w:u w:val="single"/>
        </w:rPr>
      </w:pPr>
      <w:r>
        <w:rPr>
          <w:b/>
          <w:u w:val="single"/>
        </w:rPr>
        <w:t>Boulder County Hazardous Materials Team</w:t>
      </w:r>
    </w:p>
    <w:p w14:paraId="4AD6951F" w14:textId="726CC2A6" w:rsidR="00443988" w:rsidRDefault="004345A2" w:rsidP="00443988">
      <w:pPr>
        <w:jc w:val="center"/>
      </w:pPr>
      <w:r>
        <w:t>Standard Billing Rates</w:t>
      </w:r>
      <w:bookmarkStart w:id="0" w:name="_GoBack"/>
      <w:bookmarkEnd w:id="0"/>
    </w:p>
    <w:p w14:paraId="6656AA4A" w14:textId="77777777" w:rsidR="00AC65F7" w:rsidRPr="00AC65F7" w:rsidRDefault="00AC65F7" w:rsidP="00443988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43988" w14:paraId="181F7DC6" w14:textId="77777777" w:rsidTr="0044398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9D08" w14:textId="77777777" w:rsidR="00443988" w:rsidRDefault="00443988">
            <w:pPr>
              <w:jc w:val="center"/>
            </w:pPr>
            <w:r>
              <w:t>Guideline Number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FC6B" w14:textId="167507CE" w:rsidR="00443988" w:rsidRDefault="009D09AE">
            <w:pPr>
              <w:jc w:val="center"/>
            </w:pPr>
            <w:r>
              <w:t>1009</w:t>
            </w:r>
          </w:p>
        </w:tc>
      </w:tr>
      <w:tr w:rsidR="00443988" w14:paraId="3C358DE9" w14:textId="77777777" w:rsidTr="0044398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D3CC" w14:textId="77777777" w:rsidR="00443988" w:rsidRDefault="00443988">
            <w:pPr>
              <w:jc w:val="center"/>
            </w:pPr>
            <w:r>
              <w:t>Approved By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FBCC" w14:textId="4142F2C5" w:rsidR="00443988" w:rsidRDefault="00DD26EE">
            <w:pPr>
              <w:jc w:val="center"/>
            </w:pPr>
            <w:r>
              <w:t>Advisory Committee</w:t>
            </w:r>
          </w:p>
        </w:tc>
      </w:tr>
      <w:tr w:rsidR="00443988" w14:paraId="40B19724" w14:textId="77777777" w:rsidTr="0044398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0473" w14:textId="77777777" w:rsidR="00443988" w:rsidRDefault="00443988">
            <w:pPr>
              <w:jc w:val="center"/>
            </w:pPr>
            <w:r>
              <w:t>Date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A3B2" w14:textId="2C1C6F95" w:rsidR="00443988" w:rsidRDefault="006070B2">
            <w:pPr>
              <w:jc w:val="center"/>
            </w:pPr>
            <w:r>
              <w:t>11-9-19</w:t>
            </w:r>
          </w:p>
        </w:tc>
      </w:tr>
    </w:tbl>
    <w:p w14:paraId="780011BF" w14:textId="77777777" w:rsidR="00451B7C" w:rsidRDefault="00451B7C"/>
    <w:p w14:paraId="35B5CC24" w14:textId="77777777" w:rsidR="00443988" w:rsidRDefault="00443988"/>
    <w:p w14:paraId="1A654F61" w14:textId="77777777" w:rsidR="00443988" w:rsidRDefault="00443988" w:rsidP="00443988">
      <w:r>
        <w:rPr>
          <w:b/>
        </w:rPr>
        <w:t>Scope:</w:t>
      </w:r>
      <w:r>
        <w:t xml:space="preserve"> This guideline applies to all members of the Boul</w:t>
      </w:r>
      <w:r w:rsidR="00451B7C">
        <w:t>der County Hazardous Materials T</w:t>
      </w:r>
      <w:r>
        <w:t>eam</w:t>
      </w:r>
      <w:r w:rsidR="00847300">
        <w:t xml:space="preserve"> (BCHMT)</w:t>
      </w:r>
    </w:p>
    <w:p w14:paraId="3BA30EF6" w14:textId="77777777" w:rsidR="00443988" w:rsidRDefault="00443988" w:rsidP="00443988"/>
    <w:p w14:paraId="7981BB38" w14:textId="7BB71900" w:rsidR="00443988" w:rsidRDefault="00443988" w:rsidP="00443988">
      <w:r>
        <w:rPr>
          <w:b/>
        </w:rPr>
        <w:t>Purpose:</w:t>
      </w:r>
      <w:r>
        <w:t xml:space="preserve">  </w:t>
      </w:r>
      <w:r w:rsidRPr="00443988">
        <w:t>The purpose of this guideline is to establish</w:t>
      </w:r>
      <w:r w:rsidR="000F6E2C">
        <w:t xml:space="preserve"> standard billing rates for BCHMT personnel</w:t>
      </w:r>
      <w:r w:rsidR="004F11A6">
        <w:t xml:space="preserve">, </w:t>
      </w:r>
      <w:r w:rsidR="000F6E2C">
        <w:t>BCHMT apparatus</w:t>
      </w:r>
      <w:r w:rsidR="004F11A6">
        <w:t xml:space="preserve"> and consumables used on scene.</w:t>
      </w:r>
    </w:p>
    <w:p w14:paraId="00F85AF8" w14:textId="77777777" w:rsidR="00443988" w:rsidRDefault="00443988" w:rsidP="00443988">
      <w:pPr>
        <w:rPr>
          <w:b/>
        </w:rPr>
      </w:pPr>
    </w:p>
    <w:p w14:paraId="0AF0636A" w14:textId="4F6D21C8" w:rsidR="0007090C" w:rsidRDefault="00443988" w:rsidP="00443988">
      <w:pPr>
        <w:rPr>
          <w:bCs/>
        </w:rPr>
      </w:pPr>
      <w:r>
        <w:rPr>
          <w:b/>
        </w:rPr>
        <w:t>Guideline:</w:t>
      </w:r>
      <w:r w:rsidR="00380352">
        <w:rPr>
          <w:b/>
        </w:rPr>
        <w:t xml:space="preserve"> </w:t>
      </w:r>
      <w:r w:rsidR="00C44C79">
        <w:rPr>
          <w:bCs/>
        </w:rPr>
        <w:t xml:space="preserve">The BCHMT is comprised of </w:t>
      </w:r>
      <w:r w:rsidR="00DC335D">
        <w:rPr>
          <w:bCs/>
        </w:rPr>
        <w:t>personnel</w:t>
      </w:r>
      <w:r w:rsidR="009D6EE2">
        <w:rPr>
          <w:bCs/>
        </w:rPr>
        <w:t xml:space="preserve"> of various ranks</w:t>
      </w:r>
      <w:r w:rsidR="00DC335D">
        <w:rPr>
          <w:bCs/>
        </w:rPr>
        <w:t xml:space="preserve"> from several Fire </w:t>
      </w:r>
      <w:r w:rsidR="00EA4F47">
        <w:rPr>
          <w:bCs/>
        </w:rPr>
        <w:t>Department</w:t>
      </w:r>
      <w:r w:rsidR="006239DE">
        <w:rPr>
          <w:bCs/>
        </w:rPr>
        <w:t>s</w:t>
      </w:r>
      <w:r w:rsidR="00DC335D">
        <w:rPr>
          <w:bCs/>
        </w:rPr>
        <w:t xml:space="preserve"> throughout Boulder County and as such there are numer</w:t>
      </w:r>
      <w:r w:rsidR="00A545FA">
        <w:rPr>
          <w:bCs/>
        </w:rPr>
        <w:t xml:space="preserve">ous personnel pay rates associated with </w:t>
      </w:r>
      <w:r w:rsidR="009D6EE2">
        <w:rPr>
          <w:bCs/>
        </w:rPr>
        <w:t>that.</w:t>
      </w:r>
      <w:r w:rsidR="00C20D24">
        <w:rPr>
          <w:bCs/>
        </w:rPr>
        <w:t xml:space="preserve">  The B</w:t>
      </w:r>
      <w:r w:rsidR="0022424A">
        <w:rPr>
          <w:bCs/>
        </w:rPr>
        <w:t>C</w:t>
      </w:r>
      <w:r w:rsidR="00C20D24">
        <w:rPr>
          <w:bCs/>
        </w:rPr>
        <w:t>HMT also has numerous</w:t>
      </w:r>
      <w:r w:rsidR="0022424A">
        <w:rPr>
          <w:bCs/>
        </w:rPr>
        <w:t xml:space="preserve"> Hazmat </w:t>
      </w:r>
      <w:r w:rsidR="006239DE">
        <w:rPr>
          <w:bCs/>
        </w:rPr>
        <w:t>specific</w:t>
      </w:r>
      <w:r w:rsidR="0022424A">
        <w:rPr>
          <w:bCs/>
        </w:rPr>
        <w:t xml:space="preserve"> response </w:t>
      </w:r>
      <w:r w:rsidR="003453B8">
        <w:rPr>
          <w:bCs/>
        </w:rPr>
        <w:t xml:space="preserve">vehicles tied to those same Fire </w:t>
      </w:r>
      <w:r w:rsidR="006239DE">
        <w:rPr>
          <w:bCs/>
        </w:rPr>
        <w:t>Departments</w:t>
      </w:r>
      <w:r w:rsidR="003453B8">
        <w:rPr>
          <w:bCs/>
        </w:rPr>
        <w:t>.</w:t>
      </w:r>
      <w:r w:rsidR="00C20D24">
        <w:rPr>
          <w:bCs/>
        </w:rPr>
        <w:t xml:space="preserve"> </w:t>
      </w:r>
      <w:r w:rsidR="009D6EE2">
        <w:rPr>
          <w:bCs/>
        </w:rPr>
        <w:t xml:space="preserve">  </w:t>
      </w:r>
      <w:r w:rsidR="00A903AF">
        <w:rPr>
          <w:bCs/>
        </w:rPr>
        <w:t>This has made the process of billing the generator of a Hazmat Incident very cumbersome</w:t>
      </w:r>
      <w:r w:rsidR="0007090C">
        <w:rPr>
          <w:bCs/>
        </w:rPr>
        <w:t xml:space="preserve"> and </w:t>
      </w:r>
      <w:r w:rsidR="00987456">
        <w:rPr>
          <w:bCs/>
        </w:rPr>
        <w:t>has</w:t>
      </w:r>
      <w:r w:rsidR="0007090C">
        <w:rPr>
          <w:bCs/>
        </w:rPr>
        <w:t xml:space="preserve"> necessitated the formation of Standard Billing Rates for personnel</w:t>
      </w:r>
      <w:r w:rsidR="00987456">
        <w:rPr>
          <w:bCs/>
        </w:rPr>
        <w:t xml:space="preserve">, </w:t>
      </w:r>
      <w:r w:rsidR="0007090C">
        <w:rPr>
          <w:bCs/>
        </w:rPr>
        <w:t>apparatus</w:t>
      </w:r>
      <w:r w:rsidR="00987456">
        <w:rPr>
          <w:bCs/>
        </w:rPr>
        <w:t xml:space="preserve"> and consumables</w:t>
      </w:r>
      <w:r w:rsidR="00057A9A">
        <w:rPr>
          <w:bCs/>
        </w:rPr>
        <w:t xml:space="preserve"> as listed below.</w:t>
      </w:r>
    </w:p>
    <w:p w14:paraId="31FC9050" w14:textId="41390AF4" w:rsidR="00892E90" w:rsidRDefault="00892E90" w:rsidP="00443988">
      <w:pPr>
        <w:rPr>
          <w:bCs/>
        </w:rPr>
      </w:pPr>
    </w:p>
    <w:p w14:paraId="44660DD4" w14:textId="4D2A3F64" w:rsidR="00892E90" w:rsidRDefault="00C96B49" w:rsidP="00C96B49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>Billing for personnel and apparatus shall be</w:t>
      </w:r>
      <w:r w:rsidR="00C61FA2">
        <w:rPr>
          <w:bCs/>
        </w:rPr>
        <w:t>gin when</w:t>
      </w:r>
      <w:r w:rsidR="0000412B">
        <w:rPr>
          <w:bCs/>
        </w:rPr>
        <w:t xml:space="preserve"> units are dispatched to an incident and shall end when units are back in quarters</w:t>
      </w:r>
      <w:r w:rsidR="003F2A19">
        <w:rPr>
          <w:bCs/>
        </w:rPr>
        <w:t xml:space="preserve"> and in service.</w:t>
      </w:r>
    </w:p>
    <w:p w14:paraId="68CEAC5A" w14:textId="74827243" w:rsidR="00174A90" w:rsidRDefault="00174A90" w:rsidP="00C96B49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>The billing rate for all BCHMT personnel shall be $75.00/hour</w:t>
      </w:r>
    </w:p>
    <w:p w14:paraId="4B667897" w14:textId="23A83703" w:rsidR="00B52956" w:rsidRDefault="00B52956" w:rsidP="00C96B49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 xml:space="preserve">The billing rate for all BCHMT Hazmat rigs (2155, 2253, 2651, </w:t>
      </w:r>
      <w:r w:rsidR="00E126BD">
        <w:rPr>
          <w:bCs/>
        </w:rPr>
        <w:t>2523, 2751) shall be $135.00/hour</w:t>
      </w:r>
    </w:p>
    <w:p w14:paraId="07533DF8" w14:textId="41DF81AF" w:rsidR="00FE37DC" w:rsidRDefault="00FE37DC" w:rsidP="00C96B49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>The billing rate for all Hazmat support vehicles/trailers shall be $75.00/hour</w:t>
      </w:r>
    </w:p>
    <w:p w14:paraId="367EEDB7" w14:textId="63C55B4B" w:rsidR="00C57322" w:rsidRDefault="00C57322" w:rsidP="006A1788">
      <w:pPr>
        <w:pStyle w:val="ListParagraph"/>
        <w:numPr>
          <w:ilvl w:val="0"/>
          <w:numId w:val="29"/>
        </w:numPr>
        <w:rPr>
          <w:bCs/>
        </w:rPr>
      </w:pPr>
      <w:r w:rsidRPr="006A1788">
        <w:rPr>
          <w:bCs/>
        </w:rPr>
        <w:t>Consumables used on scene shall be billed at the actual replacement cost.</w:t>
      </w:r>
    </w:p>
    <w:p w14:paraId="254C2902" w14:textId="2F15302E" w:rsidR="006A1788" w:rsidRDefault="006A1788" w:rsidP="006A1788">
      <w:pPr>
        <w:rPr>
          <w:bCs/>
        </w:rPr>
      </w:pPr>
    </w:p>
    <w:p w14:paraId="5AE6294E" w14:textId="0DFF2213" w:rsidR="006A1788" w:rsidRDefault="0063731F" w:rsidP="006A1788">
      <w:pPr>
        <w:rPr>
          <w:bCs/>
        </w:rPr>
      </w:pPr>
      <w:r>
        <w:rPr>
          <w:bCs/>
        </w:rPr>
        <w:t>The BCHMT shall reimburse</w:t>
      </w:r>
      <w:r w:rsidR="002E0ACA">
        <w:rPr>
          <w:bCs/>
        </w:rPr>
        <w:t xml:space="preserve"> each Authority member agency for </w:t>
      </w:r>
      <w:r w:rsidR="000A029A">
        <w:rPr>
          <w:bCs/>
        </w:rPr>
        <w:t xml:space="preserve">the actual </w:t>
      </w:r>
      <w:r w:rsidR="00322662">
        <w:rPr>
          <w:bCs/>
        </w:rPr>
        <w:t>personnel costs</w:t>
      </w:r>
      <w:r w:rsidR="000A029A">
        <w:rPr>
          <w:bCs/>
        </w:rPr>
        <w:t xml:space="preserve"> incurred (Overtime and Backfill)</w:t>
      </w:r>
      <w:r w:rsidR="001B5F5F">
        <w:rPr>
          <w:bCs/>
        </w:rPr>
        <w:t xml:space="preserve"> </w:t>
      </w:r>
      <w:r w:rsidR="00877C13">
        <w:rPr>
          <w:bCs/>
        </w:rPr>
        <w:t>beginning with the 2</w:t>
      </w:r>
      <w:r w:rsidR="00877C13" w:rsidRPr="00877C13">
        <w:rPr>
          <w:bCs/>
          <w:vertAlign w:val="superscript"/>
        </w:rPr>
        <w:t>nd</w:t>
      </w:r>
      <w:r w:rsidR="00877C13">
        <w:rPr>
          <w:bCs/>
        </w:rPr>
        <w:t xml:space="preserve"> operational period</w:t>
      </w:r>
      <w:r w:rsidR="00034F44">
        <w:rPr>
          <w:bCs/>
        </w:rPr>
        <w:t xml:space="preserve"> and any subsequent operational periods.  This will </w:t>
      </w:r>
      <w:r w:rsidR="00041AF8">
        <w:rPr>
          <w:bCs/>
        </w:rPr>
        <w:t>only be done after the BCHMT has received payment from the Generator of the Hazmat Incident</w:t>
      </w:r>
      <w:r w:rsidR="002D4A14">
        <w:rPr>
          <w:bCs/>
        </w:rPr>
        <w:t xml:space="preserve">.  Each Authority member agency shall </w:t>
      </w:r>
      <w:r w:rsidR="001F2346">
        <w:rPr>
          <w:bCs/>
        </w:rPr>
        <w:t xml:space="preserve">provide an itemized </w:t>
      </w:r>
      <w:r w:rsidR="00403C2C">
        <w:rPr>
          <w:bCs/>
        </w:rPr>
        <w:t xml:space="preserve">list of the personnel, pay rates and time </w:t>
      </w:r>
      <w:r w:rsidR="002A7320">
        <w:rPr>
          <w:bCs/>
        </w:rPr>
        <w:t>attached to the incident in the form of an invoice to the BCHMT</w:t>
      </w:r>
      <w:r w:rsidR="00504176">
        <w:rPr>
          <w:bCs/>
        </w:rPr>
        <w:t xml:space="preserve"> for reimbursement.</w:t>
      </w:r>
    </w:p>
    <w:p w14:paraId="0FCAF1C5" w14:textId="77A9D540" w:rsidR="002120D7" w:rsidRDefault="002120D7" w:rsidP="006A1788">
      <w:pPr>
        <w:rPr>
          <w:bCs/>
        </w:rPr>
      </w:pPr>
    </w:p>
    <w:p w14:paraId="4966EB6A" w14:textId="035005FE" w:rsidR="002120D7" w:rsidRPr="006A1788" w:rsidRDefault="002120D7" w:rsidP="006A1788">
      <w:pPr>
        <w:rPr>
          <w:bCs/>
        </w:rPr>
      </w:pPr>
      <w:r>
        <w:rPr>
          <w:bCs/>
        </w:rPr>
        <w:t xml:space="preserve">Because the BCHMT </w:t>
      </w:r>
      <w:r w:rsidR="001C0B99">
        <w:rPr>
          <w:bCs/>
        </w:rPr>
        <w:t xml:space="preserve">will bill the Generator at a Standard Rate and reimburse the Authority </w:t>
      </w:r>
      <w:r w:rsidR="000C22D9">
        <w:rPr>
          <w:bCs/>
        </w:rPr>
        <w:t>member agencies at their actual Overtime and Backfill costs, there will be a surplus of funds not reimbursed</w:t>
      </w:r>
      <w:r w:rsidR="00895B06">
        <w:rPr>
          <w:bCs/>
        </w:rPr>
        <w:t>.  This surplus will be attached to one of the Training accounts</w:t>
      </w:r>
      <w:r w:rsidR="008B7A75">
        <w:rPr>
          <w:bCs/>
        </w:rPr>
        <w:t xml:space="preserve"> deemed most appropriate by the Advisory Committee </w:t>
      </w:r>
      <w:r w:rsidR="002231B6">
        <w:rPr>
          <w:bCs/>
        </w:rPr>
        <w:t>and used for that purpose.</w:t>
      </w:r>
    </w:p>
    <w:p w14:paraId="38E191F7" w14:textId="40A97C69" w:rsidR="00057A9A" w:rsidRDefault="00057A9A" w:rsidP="00443988">
      <w:pPr>
        <w:rPr>
          <w:bCs/>
        </w:rPr>
      </w:pPr>
    </w:p>
    <w:p w14:paraId="41168D27" w14:textId="06335BCD" w:rsidR="00057A9A" w:rsidRPr="008D3D59" w:rsidRDefault="00057A9A" w:rsidP="00443988">
      <w:pPr>
        <w:rPr>
          <w:bCs/>
        </w:rPr>
      </w:pPr>
    </w:p>
    <w:p w14:paraId="253134B7" w14:textId="77777777" w:rsidR="00443988" w:rsidRDefault="00443988" w:rsidP="00443988">
      <w:pPr>
        <w:rPr>
          <w:b/>
        </w:rPr>
      </w:pPr>
    </w:p>
    <w:p w14:paraId="38AE6E1F" w14:textId="77777777" w:rsidR="00D87AA7" w:rsidRPr="00D87AA7" w:rsidRDefault="00D87AA7" w:rsidP="00D87AA7">
      <w:pPr>
        <w:ind w:left="720"/>
        <w:rPr>
          <w:rFonts w:ascii="Times New Roman" w:eastAsia="Times New Roman" w:hAnsi="Times New Roman" w:cs="Times New Roman"/>
        </w:rPr>
      </w:pPr>
    </w:p>
    <w:p w14:paraId="350DADD3" w14:textId="76CBDA51" w:rsidR="00D87AA7" w:rsidRPr="00D87AA7" w:rsidRDefault="00D87AA7" w:rsidP="00D87AA7">
      <w:pPr>
        <w:ind w:left="720"/>
        <w:rPr>
          <w:rFonts w:ascii="Times New Roman" w:eastAsia="Times New Roman" w:hAnsi="Times New Roman" w:cs="Times New Roman"/>
        </w:rPr>
      </w:pPr>
    </w:p>
    <w:p w14:paraId="4C6E6FE2" w14:textId="77777777" w:rsidR="00443988" w:rsidRPr="00443988" w:rsidRDefault="00443988" w:rsidP="00443988">
      <w:pPr>
        <w:rPr>
          <w:rFonts w:ascii="Times New Roman" w:eastAsia="Times New Roman" w:hAnsi="Times New Roman" w:cs="Times New Roman"/>
        </w:rPr>
      </w:pPr>
    </w:p>
    <w:p w14:paraId="43C711FC" w14:textId="77777777" w:rsidR="00B353B4" w:rsidRPr="00B353B4" w:rsidRDefault="00B353B4" w:rsidP="00B353B4">
      <w:pPr>
        <w:rPr>
          <w:rFonts w:ascii="Times New Roman" w:eastAsia="Times New Roman" w:hAnsi="Times New Roman" w:cs="Times New Roman"/>
        </w:rPr>
      </w:pPr>
    </w:p>
    <w:p w14:paraId="3D8F1454" w14:textId="27E79BB2" w:rsidR="00443988" w:rsidRPr="00443988" w:rsidRDefault="00443988" w:rsidP="00BB5C57">
      <w:pPr>
        <w:ind w:left="2520"/>
        <w:rPr>
          <w:rFonts w:ascii="Times New Roman" w:eastAsia="Times New Roman" w:hAnsi="Times New Roman" w:cs="Times New Roman"/>
        </w:rPr>
      </w:pPr>
    </w:p>
    <w:p w14:paraId="350BA55F" w14:textId="77777777" w:rsidR="00443988" w:rsidRPr="00443988" w:rsidRDefault="00443988" w:rsidP="00443988">
      <w:pPr>
        <w:rPr>
          <w:rFonts w:ascii="Times New Roman" w:eastAsia="Times New Roman" w:hAnsi="Times New Roman" w:cs="Times New Roman"/>
          <w:szCs w:val="20"/>
        </w:rPr>
      </w:pPr>
    </w:p>
    <w:p w14:paraId="1AD3F299" w14:textId="77777777" w:rsidR="00443988" w:rsidRPr="00443988" w:rsidRDefault="00443988" w:rsidP="00443988">
      <w:pPr>
        <w:rPr>
          <w:rFonts w:ascii="Times New Roman" w:eastAsia="Times New Roman" w:hAnsi="Times New Roman" w:cs="Times New Roman"/>
        </w:rPr>
      </w:pPr>
    </w:p>
    <w:p w14:paraId="500E9D31" w14:textId="77777777" w:rsidR="00443988" w:rsidRPr="00443988" w:rsidRDefault="00443988" w:rsidP="00443988">
      <w:pPr>
        <w:ind w:left="720" w:hanging="1440"/>
        <w:rPr>
          <w:rFonts w:ascii="Times New Roman" w:eastAsia="Times New Roman" w:hAnsi="Times New Roman" w:cs="Times New Roman"/>
        </w:rPr>
      </w:pPr>
    </w:p>
    <w:p w14:paraId="5BB130D3" w14:textId="77777777" w:rsidR="00443988" w:rsidRDefault="00443988" w:rsidP="00443988">
      <w:pPr>
        <w:rPr>
          <w:b/>
        </w:rPr>
      </w:pPr>
    </w:p>
    <w:p w14:paraId="37AAE831" w14:textId="77777777" w:rsidR="00443988" w:rsidRDefault="00443988"/>
    <w:sectPr w:rsidR="00443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D55"/>
    <w:multiLevelType w:val="multilevel"/>
    <w:tmpl w:val="1460FA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9008F"/>
    <w:multiLevelType w:val="hybridMultilevel"/>
    <w:tmpl w:val="549A09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92C9B"/>
    <w:multiLevelType w:val="hybridMultilevel"/>
    <w:tmpl w:val="D55A7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15735"/>
    <w:multiLevelType w:val="multilevel"/>
    <w:tmpl w:val="43301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C380C"/>
    <w:multiLevelType w:val="multilevel"/>
    <w:tmpl w:val="A59AB1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8F24DF"/>
    <w:multiLevelType w:val="multilevel"/>
    <w:tmpl w:val="6C56B1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132A7F"/>
    <w:multiLevelType w:val="multilevel"/>
    <w:tmpl w:val="EAA8E5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2E19D4"/>
    <w:multiLevelType w:val="hybridMultilevel"/>
    <w:tmpl w:val="00806E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C677B2"/>
    <w:multiLevelType w:val="multilevel"/>
    <w:tmpl w:val="767607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F5586B"/>
    <w:multiLevelType w:val="hybridMultilevel"/>
    <w:tmpl w:val="9028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93408"/>
    <w:multiLevelType w:val="hybridMultilevel"/>
    <w:tmpl w:val="052C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F543C"/>
    <w:multiLevelType w:val="multilevel"/>
    <w:tmpl w:val="73F4C934"/>
    <w:lvl w:ilvl="0">
      <w:start w:val="2"/>
      <w:numFmt w:val="none"/>
      <w:lvlText w:val="4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4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8DF0935"/>
    <w:multiLevelType w:val="hybridMultilevel"/>
    <w:tmpl w:val="4330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37EF3"/>
    <w:multiLevelType w:val="hybridMultilevel"/>
    <w:tmpl w:val="F97239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24339"/>
    <w:multiLevelType w:val="multilevel"/>
    <w:tmpl w:val="549A097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E68D9"/>
    <w:multiLevelType w:val="hybridMultilevel"/>
    <w:tmpl w:val="91BE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D7C86"/>
    <w:multiLevelType w:val="multilevel"/>
    <w:tmpl w:val="79FE70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%3.1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56C5902"/>
    <w:multiLevelType w:val="hybridMultilevel"/>
    <w:tmpl w:val="96E2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B48DF"/>
    <w:multiLevelType w:val="multilevel"/>
    <w:tmpl w:val="052CC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30F11"/>
    <w:multiLevelType w:val="hybridMultilevel"/>
    <w:tmpl w:val="52609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8B54CA"/>
    <w:multiLevelType w:val="hybridMultilevel"/>
    <w:tmpl w:val="0FF8F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62FB0"/>
    <w:multiLevelType w:val="multilevel"/>
    <w:tmpl w:val="0FF8FB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64A56"/>
    <w:multiLevelType w:val="hybridMultilevel"/>
    <w:tmpl w:val="18DE6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AE00F4"/>
    <w:multiLevelType w:val="hybridMultilevel"/>
    <w:tmpl w:val="8DB02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086CD2"/>
    <w:multiLevelType w:val="multilevel"/>
    <w:tmpl w:val="1460FA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2581B"/>
    <w:multiLevelType w:val="hybridMultilevel"/>
    <w:tmpl w:val="9750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F46F4"/>
    <w:multiLevelType w:val="multilevel"/>
    <w:tmpl w:val="D55A76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20F84"/>
    <w:multiLevelType w:val="multilevel"/>
    <w:tmpl w:val="526094E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A0565E"/>
    <w:multiLevelType w:val="multilevel"/>
    <w:tmpl w:val="43301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15"/>
  </w:num>
  <w:num w:numId="8">
    <w:abstractNumId w:val="24"/>
  </w:num>
  <w:num w:numId="9">
    <w:abstractNumId w:val="2"/>
  </w:num>
  <w:num w:numId="10">
    <w:abstractNumId w:val="0"/>
  </w:num>
  <w:num w:numId="11">
    <w:abstractNumId w:val="13"/>
  </w:num>
  <w:num w:numId="12">
    <w:abstractNumId w:val="26"/>
  </w:num>
  <w:num w:numId="13">
    <w:abstractNumId w:val="12"/>
  </w:num>
  <w:num w:numId="14">
    <w:abstractNumId w:val="3"/>
  </w:num>
  <w:num w:numId="15">
    <w:abstractNumId w:val="20"/>
  </w:num>
  <w:num w:numId="16">
    <w:abstractNumId w:val="7"/>
  </w:num>
  <w:num w:numId="17">
    <w:abstractNumId w:val="28"/>
  </w:num>
  <w:num w:numId="18">
    <w:abstractNumId w:val="1"/>
  </w:num>
  <w:num w:numId="19">
    <w:abstractNumId w:val="14"/>
  </w:num>
  <w:num w:numId="20">
    <w:abstractNumId w:val="10"/>
  </w:num>
  <w:num w:numId="21">
    <w:abstractNumId w:val="21"/>
  </w:num>
  <w:num w:numId="22">
    <w:abstractNumId w:val="9"/>
  </w:num>
  <w:num w:numId="23">
    <w:abstractNumId w:val="23"/>
  </w:num>
  <w:num w:numId="24">
    <w:abstractNumId w:val="22"/>
  </w:num>
  <w:num w:numId="25">
    <w:abstractNumId w:val="18"/>
  </w:num>
  <w:num w:numId="26">
    <w:abstractNumId w:val="19"/>
  </w:num>
  <w:num w:numId="27">
    <w:abstractNumId w:val="27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988"/>
    <w:rsid w:val="0000412B"/>
    <w:rsid w:val="00004769"/>
    <w:rsid w:val="00034F44"/>
    <w:rsid w:val="00041AF8"/>
    <w:rsid w:val="0005774D"/>
    <w:rsid w:val="00057A9A"/>
    <w:rsid w:val="000619A3"/>
    <w:rsid w:val="00065542"/>
    <w:rsid w:val="0007090C"/>
    <w:rsid w:val="000A029A"/>
    <w:rsid w:val="000A1F0E"/>
    <w:rsid w:val="000C22D9"/>
    <w:rsid w:val="000F6E2C"/>
    <w:rsid w:val="001144B1"/>
    <w:rsid w:val="001334C0"/>
    <w:rsid w:val="001428F8"/>
    <w:rsid w:val="0016748E"/>
    <w:rsid w:val="00174A90"/>
    <w:rsid w:val="001B5F5F"/>
    <w:rsid w:val="001C0B99"/>
    <w:rsid w:val="001F2346"/>
    <w:rsid w:val="002120D7"/>
    <w:rsid w:val="002231B6"/>
    <w:rsid w:val="0022424A"/>
    <w:rsid w:val="002A7320"/>
    <w:rsid w:val="002D4A14"/>
    <w:rsid w:val="002D71D2"/>
    <w:rsid w:val="002E0ACA"/>
    <w:rsid w:val="00322662"/>
    <w:rsid w:val="003453B8"/>
    <w:rsid w:val="00380352"/>
    <w:rsid w:val="003F2A19"/>
    <w:rsid w:val="00403C2C"/>
    <w:rsid w:val="00405C84"/>
    <w:rsid w:val="00432C1F"/>
    <w:rsid w:val="004345A2"/>
    <w:rsid w:val="00442DF1"/>
    <w:rsid w:val="00443988"/>
    <w:rsid w:val="00451B7C"/>
    <w:rsid w:val="004F11A6"/>
    <w:rsid w:val="00504176"/>
    <w:rsid w:val="00540084"/>
    <w:rsid w:val="00554361"/>
    <w:rsid w:val="00557DB0"/>
    <w:rsid w:val="005918A0"/>
    <w:rsid w:val="005C3D8F"/>
    <w:rsid w:val="005D47A6"/>
    <w:rsid w:val="005F4893"/>
    <w:rsid w:val="006070B2"/>
    <w:rsid w:val="006239DE"/>
    <w:rsid w:val="0063731F"/>
    <w:rsid w:val="006456F1"/>
    <w:rsid w:val="00667BB8"/>
    <w:rsid w:val="00685A49"/>
    <w:rsid w:val="006A1788"/>
    <w:rsid w:val="007A6B1A"/>
    <w:rsid w:val="0082003D"/>
    <w:rsid w:val="00847300"/>
    <w:rsid w:val="00874C53"/>
    <w:rsid w:val="00877C13"/>
    <w:rsid w:val="00892E90"/>
    <w:rsid w:val="00895B06"/>
    <w:rsid w:val="008B7A75"/>
    <w:rsid w:val="008D3D59"/>
    <w:rsid w:val="00961B6C"/>
    <w:rsid w:val="00987456"/>
    <w:rsid w:val="00994871"/>
    <w:rsid w:val="009D09AE"/>
    <w:rsid w:val="009D39F1"/>
    <w:rsid w:val="009D6EE2"/>
    <w:rsid w:val="00A545FA"/>
    <w:rsid w:val="00A664D5"/>
    <w:rsid w:val="00A81342"/>
    <w:rsid w:val="00A903AF"/>
    <w:rsid w:val="00AC5199"/>
    <w:rsid w:val="00AC65F7"/>
    <w:rsid w:val="00B353B4"/>
    <w:rsid w:val="00B35705"/>
    <w:rsid w:val="00B52956"/>
    <w:rsid w:val="00BB2975"/>
    <w:rsid w:val="00BB5C57"/>
    <w:rsid w:val="00C20D24"/>
    <w:rsid w:val="00C36538"/>
    <w:rsid w:val="00C44C79"/>
    <w:rsid w:val="00C57322"/>
    <w:rsid w:val="00C61FA2"/>
    <w:rsid w:val="00C73288"/>
    <w:rsid w:val="00C96B49"/>
    <w:rsid w:val="00CA3FC5"/>
    <w:rsid w:val="00D013D2"/>
    <w:rsid w:val="00D768D7"/>
    <w:rsid w:val="00D87AA7"/>
    <w:rsid w:val="00D919F6"/>
    <w:rsid w:val="00DC335D"/>
    <w:rsid w:val="00DD26EE"/>
    <w:rsid w:val="00E015CF"/>
    <w:rsid w:val="00E126BD"/>
    <w:rsid w:val="00E45C95"/>
    <w:rsid w:val="00E77BB2"/>
    <w:rsid w:val="00EA4F47"/>
    <w:rsid w:val="00F0537E"/>
    <w:rsid w:val="00F71710"/>
    <w:rsid w:val="00F74C0E"/>
    <w:rsid w:val="00FB0E87"/>
    <w:rsid w:val="00FC1B71"/>
    <w:rsid w:val="00FC3A4D"/>
    <w:rsid w:val="00FE37DC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2763D"/>
  <w15:docId w15:val="{A10FF47E-8450-C449-B438-7AFAD080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98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98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4068-FFD8-3A46-B339-B93F5B10B42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 Kelley</dc:creator>
  <cp:lastModifiedBy>Stewart Visser</cp:lastModifiedBy>
  <cp:revision>3</cp:revision>
  <dcterms:created xsi:type="dcterms:W3CDTF">2019-11-11T23:29:00Z</dcterms:created>
  <dcterms:modified xsi:type="dcterms:W3CDTF">2019-11-11T23:31:00Z</dcterms:modified>
</cp:coreProperties>
</file>