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EFAB" w14:textId="77777777" w:rsidR="00EE4E5A" w:rsidRDefault="00EE4E5A" w:rsidP="00B12A5D">
      <w:pPr>
        <w:widowControl w:val="0"/>
        <w:autoSpaceDE w:val="0"/>
        <w:autoSpaceDN w:val="0"/>
        <w:adjustRightInd w:val="0"/>
      </w:pPr>
    </w:p>
    <w:p w14:paraId="5433ACD1" w14:textId="1DC16F7E" w:rsidR="00B12A5D" w:rsidRDefault="00EE4E5A" w:rsidP="00EE4E5A">
      <w:pPr>
        <w:widowControl w:val="0"/>
        <w:autoSpaceDE w:val="0"/>
        <w:autoSpaceDN w:val="0"/>
        <w:adjustRightInd w:val="0"/>
        <w:ind w:firstLine="0"/>
      </w:pPr>
      <w:r>
        <w:rPr>
          <w:noProof/>
        </w:rPr>
        <w:drawing>
          <wp:inline distT="0" distB="0" distL="0" distR="0" wp14:anchorId="6F9BA2CD" wp14:editId="0E3B4F08">
            <wp:extent cx="2838450" cy="484902"/>
            <wp:effectExtent l="0" t="0" r="0" b="0"/>
            <wp:docPr id="2047854030" name="Picture 204785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8340" cy="490008"/>
                    </a:xfrm>
                    <a:prstGeom prst="rect">
                      <a:avLst/>
                    </a:prstGeom>
                  </pic:spPr>
                </pic:pic>
              </a:graphicData>
            </a:graphic>
          </wp:inline>
        </w:drawing>
      </w:r>
    </w:p>
    <w:p w14:paraId="25096D8A" w14:textId="70CDF239" w:rsidR="00EE4E5A" w:rsidRDefault="00EE4E5A" w:rsidP="00B12A5D">
      <w:pPr>
        <w:widowControl w:val="0"/>
        <w:ind w:left="0" w:firstLine="0"/>
      </w:pPr>
      <w:bookmarkStart w:id="0" w:name="_Hlk211173847"/>
      <w:bookmarkEnd w:id="0"/>
    </w:p>
    <w:p w14:paraId="533CAE79" w14:textId="77777777" w:rsidR="00EE4E5A" w:rsidRDefault="00EE4E5A" w:rsidP="00B12A5D">
      <w:pPr>
        <w:widowControl w:val="0"/>
        <w:ind w:left="0" w:firstLine="0"/>
      </w:pPr>
    </w:p>
    <w:p w14:paraId="7A6D749F" w14:textId="77777777" w:rsidR="00A276FB" w:rsidRPr="00A276FB" w:rsidRDefault="00A276FB" w:rsidP="00A276FB">
      <w:pPr>
        <w:shd w:val="clear" w:color="auto" w:fill="FFFFFF" w:themeFill="background1"/>
        <w:spacing w:line="360" w:lineRule="auto"/>
        <w:jc w:val="center"/>
        <w:rPr>
          <w:rFonts w:ascii="Garamond" w:hAnsi="Garamond"/>
          <w:b/>
          <w:bCs/>
          <w:color w:val="502374"/>
          <w:sz w:val="44"/>
          <w:szCs w:val="44"/>
          <w:lang w:val="en"/>
        </w:rPr>
      </w:pPr>
      <w:r w:rsidRPr="00A276FB">
        <w:rPr>
          <w:rFonts w:ascii="Garamond" w:hAnsi="Garamond"/>
          <w:b/>
          <w:bCs/>
          <w:color w:val="502374"/>
          <w:sz w:val="44"/>
          <w:szCs w:val="44"/>
          <w:lang w:val="en"/>
        </w:rPr>
        <w:t>The Probe Knows: Mastering the Diagnosis and Management of Periodontal &amp; Peri-Implant Disease</w:t>
      </w:r>
    </w:p>
    <w:p w14:paraId="7FAA57E1" w14:textId="77777777" w:rsidR="00B12A5D" w:rsidRPr="00C92725" w:rsidRDefault="00B12A5D" w:rsidP="00B12A5D">
      <w:pPr>
        <w:shd w:val="clear" w:color="auto" w:fill="FFFFFF" w:themeFill="background1"/>
        <w:spacing w:line="360" w:lineRule="auto"/>
        <w:jc w:val="center"/>
        <w:rPr>
          <w:rFonts w:eastAsia="Times New Roman" w:cs="Arial"/>
          <w:b/>
          <w:bCs/>
          <w:color w:val="000000" w:themeColor="text1"/>
          <w:sz w:val="40"/>
          <w:szCs w:val="40"/>
          <w:u w:val="single"/>
        </w:rPr>
      </w:pPr>
      <w:r w:rsidRPr="00C92725">
        <w:rPr>
          <w:rFonts w:ascii="Garamond" w:hAnsi="Garamond"/>
          <w:b/>
          <w:bCs/>
          <w:color w:val="000000" w:themeColor="text1"/>
          <w:kern w:val="32"/>
          <w:sz w:val="40"/>
          <w:szCs w:val="40"/>
          <w:u w:val="single"/>
        </w:rPr>
        <w:t>Virtual Webinar</w:t>
      </w:r>
    </w:p>
    <w:p w14:paraId="54A29E66" w14:textId="5448E033" w:rsidR="00B12A5D" w:rsidRPr="001F5BAF" w:rsidRDefault="00A276FB" w:rsidP="00B12A5D">
      <w:pPr>
        <w:shd w:val="clear" w:color="auto" w:fill="FFFFFF" w:themeFill="background1"/>
        <w:jc w:val="center"/>
        <w:rPr>
          <w:rFonts w:ascii="Garamond" w:hAnsi="Garamond"/>
          <w:b/>
          <w:bCs/>
          <w:sz w:val="40"/>
          <w:szCs w:val="40"/>
        </w:rPr>
      </w:pPr>
      <w:r>
        <w:rPr>
          <w:rFonts w:ascii="Garamond" w:hAnsi="Garamond"/>
          <w:b/>
          <w:bCs/>
          <w:sz w:val="40"/>
          <w:szCs w:val="40"/>
        </w:rPr>
        <w:t>Dr. Morgan A. Atanasio DDS, MDS</w:t>
      </w:r>
    </w:p>
    <w:p w14:paraId="7DA38239" w14:textId="2E2D3C1E" w:rsidR="00B12A5D" w:rsidRPr="00E72241" w:rsidRDefault="00B12A5D" w:rsidP="00B12A5D">
      <w:pPr>
        <w:pStyle w:val="Heading2"/>
        <w:ind w:left="720" w:hanging="720"/>
        <w:jc w:val="center"/>
        <w:rPr>
          <w:rFonts w:ascii="Garamond" w:hAnsi="Garamond"/>
          <w:b/>
          <w:color w:val="auto"/>
          <w:sz w:val="40"/>
          <w:szCs w:val="40"/>
        </w:rPr>
      </w:pPr>
      <w:r w:rsidRPr="00E72241">
        <w:rPr>
          <w:rFonts w:ascii="Garamond" w:hAnsi="Garamond"/>
          <w:b/>
          <w:color w:val="auto"/>
          <w:sz w:val="40"/>
          <w:szCs w:val="40"/>
        </w:rPr>
        <w:t xml:space="preserve">Sunday </w:t>
      </w:r>
      <w:r w:rsidR="00A276FB">
        <w:rPr>
          <w:rFonts w:ascii="Garamond" w:hAnsi="Garamond"/>
          <w:b/>
          <w:color w:val="auto"/>
          <w:sz w:val="40"/>
          <w:szCs w:val="40"/>
        </w:rPr>
        <w:t>December 7</w:t>
      </w:r>
      <w:r w:rsidR="00A276FB" w:rsidRPr="00A276FB">
        <w:rPr>
          <w:rFonts w:ascii="Garamond" w:hAnsi="Garamond"/>
          <w:b/>
          <w:color w:val="auto"/>
          <w:sz w:val="40"/>
          <w:szCs w:val="40"/>
          <w:vertAlign w:val="superscript"/>
        </w:rPr>
        <w:t>th</w:t>
      </w:r>
      <w:r w:rsidRPr="00E72241">
        <w:rPr>
          <w:rFonts w:ascii="Garamond" w:hAnsi="Garamond"/>
          <w:b/>
          <w:color w:val="auto"/>
          <w:sz w:val="40"/>
          <w:szCs w:val="40"/>
        </w:rPr>
        <w:t xml:space="preserve">, </w:t>
      </w:r>
      <w:proofErr w:type="gramStart"/>
      <w:r w:rsidRPr="00E72241">
        <w:rPr>
          <w:rFonts w:ascii="Garamond" w:hAnsi="Garamond"/>
          <w:b/>
          <w:color w:val="auto"/>
          <w:sz w:val="40"/>
          <w:szCs w:val="40"/>
        </w:rPr>
        <w:t>202</w:t>
      </w:r>
      <w:r w:rsidR="00604299">
        <w:rPr>
          <w:rFonts w:ascii="Garamond" w:hAnsi="Garamond"/>
          <w:b/>
          <w:color w:val="auto"/>
          <w:sz w:val="40"/>
          <w:szCs w:val="40"/>
        </w:rPr>
        <w:t>5</w:t>
      </w:r>
      <w:proofErr w:type="gramEnd"/>
      <w:r w:rsidRPr="00E72241">
        <w:rPr>
          <w:rFonts w:ascii="Garamond" w:hAnsi="Garamond"/>
          <w:b/>
          <w:color w:val="auto"/>
          <w:sz w:val="40"/>
          <w:szCs w:val="40"/>
        </w:rPr>
        <w:t xml:space="preserve"> 9am – 1</w:t>
      </w:r>
      <w:r w:rsidR="00A276FB">
        <w:rPr>
          <w:rFonts w:ascii="Garamond" w:hAnsi="Garamond"/>
          <w:b/>
          <w:color w:val="auto"/>
          <w:sz w:val="40"/>
          <w:szCs w:val="40"/>
        </w:rPr>
        <w:t>1am</w:t>
      </w:r>
      <w:r w:rsidRPr="00E72241">
        <w:rPr>
          <w:rFonts w:ascii="Garamond" w:hAnsi="Garamond"/>
          <w:b/>
          <w:color w:val="auto"/>
          <w:sz w:val="40"/>
          <w:szCs w:val="40"/>
        </w:rPr>
        <w:t xml:space="preserve"> </w:t>
      </w:r>
      <w:r w:rsidR="00A276FB">
        <w:rPr>
          <w:rFonts w:ascii="Garamond" w:hAnsi="Garamond"/>
          <w:b/>
          <w:color w:val="auto"/>
          <w:sz w:val="40"/>
          <w:szCs w:val="40"/>
        </w:rPr>
        <w:t>2</w:t>
      </w:r>
      <w:r w:rsidRPr="00E72241">
        <w:rPr>
          <w:rFonts w:ascii="Garamond" w:hAnsi="Garamond"/>
          <w:b/>
          <w:color w:val="auto"/>
          <w:sz w:val="40"/>
          <w:szCs w:val="40"/>
        </w:rPr>
        <w:t>CEUs</w:t>
      </w:r>
    </w:p>
    <w:p w14:paraId="04C7B661" w14:textId="77777777" w:rsidR="00B12A5D" w:rsidRDefault="00B12A5D" w:rsidP="00B12A5D">
      <w:pPr>
        <w:ind w:left="0" w:firstLine="0"/>
        <w:jc w:val="center"/>
        <w:rPr>
          <w:rFonts w:ascii="Garamond" w:eastAsia="Garamond" w:hAnsi="Garamond" w:cs="Garamond"/>
          <w:b/>
          <w:bCs/>
          <w:color w:val="7030A0"/>
          <w:sz w:val="36"/>
          <w:szCs w:val="36"/>
        </w:rPr>
      </w:pPr>
      <w:r w:rsidRPr="00A51D6B">
        <w:rPr>
          <w:rFonts w:ascii="Garamond" w:eastAsia="Garamond" w:hAnsi="Garamond" w:cs="Garamond"/>
          <w:b/>
          <w:bCs/>
          <w:color w:val="7030A0"/>
          <w:sz w:val="36"/>
          <w:szCs w:val="36"/>
        </w:rPr>
        <w:t>Business Meeting 8:30-9am Know What’s Going on in NJ</w:t>
      </w:r>
    </w:p>
    <w:p w14:paraId="7CAC497A" w14:textId="77777777" w:rsidR="00B12A5D" w:rsidRPr="00A51D6B" w:rsidRDefault="00B12A5D" w:rsidP="00B12A5D">
      <w:pPr>
        <w:ind w:left="0" w:firstLine="0"/>
        <w:jc w:val="center"/>
        <w:rPr>
          <w:rFonts w:ascii="Garamond" w:eastAsia="Garamond" w:hAnsi="Garamond" w:cs="Garamond"/>
          <w:b/>
          <w:bCs/>
          <w:color w:val="7030A0"/>
          <w:sz w:val="36"/>
          <w:szCs w:val="36"/>
        </w:rPr>
      </w:pPr>
    </w:p>
    <w:p w14:paraId="788BCDE5" w14:textId="77777777" w:rsidR="00B12A5D" w:rsidRDefault="00B12A5D" w:rsidP="00B12A5D">
      <w:pPr>
        <w:ind w:left="0" w:firstLine="0"/>
        <w:jc w:val="center"/>
        <w:rPr>
          <w:rFonts w:ascii="Garamond" w:eastAsia="Garamond" w:hAnsi="Garamond" w:cs="Garamond"/>
          <w:sz w:val="32"/>
          <w:szCs w:val="32"/>
        </w:rPr>
      </w:pPr>
    </w:p>
    <w:p w14:paraId="2666BEB5" w14:textId="77777777" w:rsidR="00B12A5D" w:rsidRDefault="00B12A5D" w:rsidP="00B12A5D">
      <w:pPr>
        <w:spacing w:line="360" w:lineRule="auto"/>
        <w:ind w:firstLine="0"/>
        <w:jc w:val="center"/>
        <w:rPr>
          <w:rFonts w:ascii="Verdana" w:hAnsi="Verdana"/>
          <w:b/>
          <w:bCs/>
          <w:sz w:val="28"/>
          <w:szCs w:val="28"/>
        </w:rPr>
      </w:pPr>
      <w:r w:rsidRPr="00E73B1A">
        <w:rPr>
          <w:rFonts w:ascii="Verdana" w:hAnsi="Verdana"/>
          <w:b/>
          <w:bCs/>
          <w:sz w:val="28"/>
          <w:szCs w:val="28"/>
        </w:rPr>
        <w:t>Members: $</w:t>
      </w:r>
      <w:proofErr w:type="gramStart"/>
      <w:r w:rsidRPr="00E73B1A">
        <w:rPr>
          <w:rFonts w:ascii="Verdana" w:hAnsi="Verdana"/>
          <w:b/>
          <w:bCs/>
          <w:sz w:val="28"/>
          <w:szCs w:val="28"/>
          <w:u w:val="single"/>
        </w:rPr>
        <w:t>10</w:t>
      </w:r>
      <w:r w:rsidRPr="00E73B1A">
        <w:rPr>
          <w:rFonts w:ascii="Verdana" w:hAnsi="Verdana"/>
          <w:b/>
          <w:bCs/>
          <w:sz w:val="28"/>
          <w:szCs w:val="28"/>
        </w:rPr>
        <w:t xml:space="preserve"> </w:t>
      </w:r>
      <w:r>
        <w:rPr>
          <w:rFonts w:ascii="Verdana" w:hAnsi="Verdana"/>
          <w:b/>
          <w:bCs/>
          <w:sz w:val="28"/>
          <w:szCs w:val="28"/>
        </w:rPr>
        <w:t xml:space="preserve"> </w:t>
      </w:r>
      <w:r>
        <w:rPr>
          <w:rFonts w:ascii="Verdana" w:hAnsi="Verdana"/>
          <w:b/>
          <w:bCs/>
          <w:sz w:val="28"/>
          <w:szCs w:val="28"/>
        </w:rPr>
        <w:tab/>
      </w:r>
      <w:proofErr w:type="gramEnd"/>
      <w:r>
        <w:rPr>
          <w:rFonts w:ascii="Verdana" w:hAnsi="Verdana"/>
          <w:b/>
          <w:bCs/>
          <w:sz w:val="28"/>
          <w:szCs w:val="28"/>
        </w:rPr>
        <w:tab/>
      </w:r>
      <w:r w:rsidRPr="00E73B1A">
        <w:rPr>
          <w:rFonts w:ascii="Verdana" w:hAnsi="Verdana"/>
          <w:b/>
          <w:bCs/>
          <w:sz w:val="28"/>
          <w:szCs w:val="28"/>
        </w:rPr>
        <w:t>Non-Members $</w:t>
      </w:r>
      <w:r w:rsidRPr="00E73B1A">
        <w:rPr>
          <w:rFonts w:ascii="Verdana" w:hAnsi="Verdana"/>
          <w:b/>
          <w:bCs/>
          <w:sz w:val="28"/>
          <w:szCs w:val="28"/>
          <w:u w:val="single"/>
        </w:rPr>
        <w:t>15</w:t>
      </w:r>
      <w:r w:rsidRPr="00E73B1A">
        <w:rPr>
          <w:rFonts w:ascii="Verdana" w:hAnsi="Verdana"/>
          <w:b/>
          <w:bCs/>
          <w:sz w:val="28"/>
          <w:szCs w:val="28"/>
        </w:rPr>
        <w:t xml:space="preserve"> </w:t>
      </w:r>
      <w:r>
        <w:rPr>
          <w:rFonts w:ascii="Verdana" w:hAnsi="Verdana"/>
          <w:b/>
          <w:bCs/>
          <w:sz w:val="28"/>
          <w:szCs w:val="28"/>
        </w:rPr>
        <w:tab/>
      </w:r>
      <w:r w:rsidRPr="00E73B1A">
        <w:rPr>
          <w:rFonts w:ascii="Verdana" w:hAnsi="Verdana"/>
          <w:b/>
          <w:bCs/>
          <w:sz w:val="28"/>
          <w:szCs w:val="28"/>
        </w:rPr>
        <w:t>Students: FREE!</w:t>
      </w:r>
    </w:p>
    <w:p w14:paraId="4EAEEA9D" w14:textId="77777777" w:rsidR="00B12A5D" w:rsidRPr="00FF71DC" w:rsidRDefault="00B12A5D" w:rsidP="00B12A5D">
      <w:pPr>
        <w:spacing w:line="360" w:lineRule="auto"/>
        <w:ind w:firstLine="0"/>
        <w:jc w:val="center"/>
        <w:rPr>
          <w:rFonts w:ascii="Verdana" w:hAnsi="Verdana"/>
          <w:b/>
          <w:bCs/>
          <w:sz w:val="28"/>
          <w:szCs w:val="28"/>
        </w:rPr>
      </w:pPr>
    </w:p>
    <w:p w14:paraId="276B601B" w14:textId="77777777" w:rsidR="00B12A5D" w:rsidRPr="00FC30F9" w:rsidRDefault="00B12A5D" w:rsidP="00B12A5D">
      <w:pPr>
        <w:pStyle w:val="ListParagraph"/>
        <w:spacing w:line="360" w:lineRule="auto"/>
        <w:ind w:left="420" w:firstLine="0"/>
        <w:jc w:val="center"/>
        <w:rPr>
          <w:rFonts w:asciiTheme="minorHAnsi" w:hAnsiTheme="minorHAnsi" w:cstheme="minorHAnsi"/>
          <w:b/>
          <w:bCs/>
          <w:i/>
          <w:iCs/>
          <w:sz w:val="28"/>
          <w:szCs w:val="28"/>
        </w:rPr>
      </w:pPr>
      <w:r w:rsidRPr="00FF71DC">
        <w:rPr>
          <w:rFonts w:asciiTheme="minorHAnsi" w:hAnsiTheme="minorHAnsi" w:cstheme="minorHAnsi"/>
          <w:b/>
          <w:bCs/>
          <w:i/>
          <w:iCs/>
          <w:sz w:val="28"/>
          <w:szCs w:val="28"/>
        </w:rPr>
        <w:t>$20 for nonmembers to attend AND bring a nonmember friend :)</w:t>
      </w:r>
    </w:p>
    <w:p w14:paraId="5D52A1D5" w14:textId="2D530331" w:rsidR="00B12A5D" w:rsidRDefault="00B12A5D" w:rsidP="00B12A5D">
      <w:pPr>
        <w:spacing w:line="360" w:lineRule="auto"/>
        <w:ind w:firstLine="0"/>
        <w:jc w:val="center"/>
        <w:rPr>
          <w:rFonts w:asciiTheme="majorHAnsi" w:hAnsiTheme="majorHAnsi" w:cstheme="majorHAnsi"/>
          <w:b/>
          <w:bCs/>
          <w:i/>
          <w:iCs/>
          <w:sz w:val="28"/>
          <w:szCs w:val="28"/>
        </w:rPr>
      </w:pPr>
      <w:r w:rsidRPr="00FF71DC">
        <w:rPr>
          <w:rFonts w:asciiTheme="majorHAnsi" w:hAnsiTheme="majorHAnsi" w:cstheme="majorHAnsi"/>
          <w:b/>
          <w:bCs/>
          <w:i/>
          <w:iCs/>
          <w:sz w:val="28"/>
          <w:szCs w:val="28"/>
        </w:rPr>
        <w:sym w:font="Wingdings" w:char="F0E0"/>
      </w:r>
      <w:r w:rsidRPr="00FF71DC">
        <w:rPr>
          <w:rFonts w:asciiTheme="majorHAnsi" w:hAnsiTheme="majorHAnsi" w:cstheme="majorHAnsi"/>
          <w:b/>
          <w:bCs/>
          <w:i/>
          <w:iCs/>
          <w:sz w:val="28"/>
          <w:szCs w:val="28"/>
        </w:rPr>
        <w:t xml:space="preserve"> Become a member of the ADHA and provide copy or snapshot of membership </w:t>
      </w:r>
      <w:proofErr w:type="gramStart"/>
      <w:r w:rsidRPr="00FF71DC">
        <w:rPr>
          <w:rFonts w:asciiTheme="majorHAnsi" w:hAnsiTheme="majorHAnsi" w:cstheme="majorHAnsi"/>
          <w:b/>
          <w:bCs/>
          <w:i/>
          <w:iCs/>
          <w:sz w:val="28"/>
          <w:szCs w:val="28"/>
        </w:rPr>
        <w:t>confirmation, and</w:t>
      </w:r>
      <w:proofErr w:type="gramEnd"/>
      <w:r w:rsidRPr="00FF71DC">
        <w:rPr>
          <w:rFonts w:asciiTheme="majorHAnsi" w:hAnsiTheme="majorHAnsi" w:cstheme="majorHAnsi"/>
          <w:b/>
          <w:bCs/>
          <w:i/>
          <w:iCs/>
          <w:sz w:val="28"/>
          <w:szCs w:val="28"/>
        </w:rPr>
        <w:t xml:space="preserve"> attend a future 202</w:t>
      </w:r>
      <w:r w:rsidR="00D93F2F">
        <w:rPr>
          <w:rFonts w:asciiTheme="majorHAnsi" w:hAnsiTheme="majorHAnsi" w:cstheme="majorHAnsi"/>
          <w:b/>
          <w:bCs/>
          <w:i/>
          <w:iCs/>
          <w:sz w:val="28"/>
          <w:szCs w:val="28"/>
        </w:rPr>
        <w:t>6</w:t>
      </w:r>
      <w:r w:rsidRPr="00FF71DC">
        <w:rPr>
          <w:rFonts w:asciiTheme="majorHAnsi" w:hAnsiTheme="majorHAnsi" w:cstheme="majorHAnsi"/>
          <w:b/>
          <w:bCs/>
          <w:i/>
          <w:iCs/>
          <w:sz w:val="28"/>
          <w:szCs w:val="28"/>
        </w:rPr>
        <w:t xml:space="preserve"> Central CE course for </w:t>
      </w:r>
      <w:r w:rsidRPr="00FF71DC">
        <w:rPr>
          <w:rFonts w:asciiTheme="majorHAnsi" w:hAnsiTheme="majorHAnsi" w:cstheme="majorHAnsi"/>
          <w:b/>
          <w:bCs/>
          <w:i/>
          <w:iCs/>
          <w:sz w:val="28"/>
          <w:szCs w:val="28"/>
          <w:u w:val="single"/>
        </w:rPr>
        <w:t>FREE</w:t>
      </w:r>
      <w:r w:rsidRPr="00FF71DC">
        <w:rPr>
          <w:rFonts w:asciiTheme="majorHAnsi" w:hAnsiTheme="majorHAnsi" w:cstheme="majorHAnsi"/>
          <w:b/>
          <w:bCs/>
          <w:i/>
          <w:iCs/>
          <w:sz w:val="28"/>
          <w:szCs w:val="28"/>
        </w:rPr>
        <w:t xml:space="preserve">! </w:t>
      </w:r>
      <w:r w:rsidRPr="00FF71DC">
        <w:rPr>
          <w:rFonts w:asciiTheme="majorHAnsi" w:hAnsiTheme="majorHAnsi" w:cstheme="majorHAnsi"/>
          <w:b/>
          <w:bCs/>
          <w:i/>
          <w:iCs/>
          <w:sz w:val="28"/>
          <w:szCs w:val="28"/>
        </w:rPr>
        <w:sym w:font="Wingdings" w:char="F0DF"/>
      </w:r>
    </w:p>
    <w:p w14:paraId="461740CB" w14:textId="77777777" w:rsidR="00B12A5D" w:rsidRPr="00520A0A" w:rsidRDefault="00B12A5D" w:rsidP="00B12A5D">
      <w:pPr>
        <w:spacing w:line="360" w:lineRule="auto"/>
        <w:ind w:firstLine="0"/>
        <w:jc w:val="center"/>
        <w:rPr>
          <w:rFonts w:asciiTheme="majorHAnsi" w:hAnsiTheme="majorHAnsi" w:cstheme="majorHAnsi"/>
          <w:b/>
          <w:bCs/>
          <w:i/>
          <w:iCs/>
          <w:sz w:val="28"/>
          <w:szCs w:val="28"/>
        </w:rPr>
      </w:pPr>
    </w:p>
    <w:p w14:paraId="051D927A" w14:textId="7D1E007C" w:rsidR="00B12A5D" w:rsidRDefault="00B12A5D" w:rsidP="00B12A5D">
      <w:pPr>
        <w:spacing w:line="360" w:lineRule="auto"/>
        <w:jc w:val="center"/>
        <w:rPr>
          <w:rFonts w:ascii="Verdana" w:hAnsi="Verdana"/>
          <w:b/>
          <w:bCs/>
          <w:color w:val="C00000"/>
          <w:sz w:val="28"/>
          <w:szCs w:val="28"/>
          <w:vertAlign w:val="superscript"/>
        </w:rPr>
      </w:pPr>
      <w:r w:rsidRPr="006C5C02">
        <w:rPr>
          <w:rFonts w:ascii="Verdana" w:hAnsi="Verdana"/>
          <w:b/>
          <w:bCs/>
          <w:color w:val="C00000"/>
          <w:sz w:val="28"/>
          <w:szCs w:val="28"/>
        </w:rPr>
        <w:t>Registration Ends Friday</w:t>
      </w:r>
      <w:r>
        <w:rPr>
          <w:rFonts w:ascii="Verdana" w:hAnsi="Verdana"/>
          <w:b/>
          <w:bCs/>
          <w:color w:val="C00000"/>
          <w:sz w:val="28"/>
          <w:szCs w:val="28"/>
        </w:rPr>
        <w:t xml:space="preserve"> DECEMBER</w:t>
      </w:r>
      <w:r w:rsidRPr="006C5C02">
        <w:rPr>
          <w:rFonts w:ascii="Verdana" w:hAnsi="Verdana"/>
          <w:b/>
          <w:bCs/>
          <w:color w:val="C00000"/>
          <w:sz w:val="28"/>
          <w:szCs w:val="28"/>
        </w:rPr>
        <w:t xml:space="preserve"> </w:t>
      </w:r>
      <w:r>
        <w:rPr>
          <w:rFonts w:ascii="Verdana" w:hAnsi="Verdana"/>
          <w:b/>
          <w:bCs/>
          <w:color w:val="C00000"/>
          <w:sz w:val="28"/>
          <w:szCs w:val="28"/>
        </w:rPr>
        <w:t>5</w:t>
      </w:r>
      <w:r>
        <w:rPr>
          <w:rFonts w:ascii="Verdana" w:hAnsi="Verdana"/>
          <w:b/>
          <w:bCs/>
          <w:color w:val="C00000"/>
          <w:sz w:val="28"/>
          <w:szCs w:val="28"/>
          <w:vertAlign w:val="superscript"/>
        </w:rPr>
        <w:t xml:space="preserve">th </w:t>
      </w:r>
    </w:p>
    <w:p w14:paraId="5A8906EB" w14:textId="77777777" w:rsidR="00B12A5D" w:rsidRDefault="00B12A5D" w:rsidP="00B12A5D">
      <w:pPr>
        <w:spacing w:line="360" w:lineRule="auto"/>
        <w:jc w:val="center"/>
        <w:rPr>
          <w:rFonts w:ascii="Verdana" w:hAnsi="Verdana"/>
          <w:b/>
          <w:bCs/>
          <w:color w:val="C00000"/>
          <w:sz w:val="28"/>
          <w:szCs w:val="28"/>
        </w:rPr>
      </w:pPr>
      <w:r w:rsidRPr="00520A0A">
        <w:rPr>
          <w:rFonts w:ascii="Verdana" w:hAnsi="Verdana"/>
          <w:b/>
          <w:bCs/>
          <w:color w:val="C00000"/>
          <w:sz w:val="28"/>
          <w:szCs w:val="28"/>
          <w:u w:val="single"/>
        </w:rPr>
        <w:t xml:space="preserve">OR </w:t>
      </w:r>
    </w:p>
    <w:p w14:paraId="55DB52D7" w14:textId="77777777" w:rsidR="00B12A5D" w:rsidRPr="00520A0A" w:rsidRDefault="00B12A5D" w:rsidP="00B12A5D">
      <w:pPr>
        <w:spacing w:line="360" w:lineRule="auto"/>
        <w:jc w:val="center"/>
        <w:rPr>
          <w:rFonts w:ascii="Verdana" w:hAnsi="Verdana"/>
          <w:b/>
          <w:bCs/>
          <w:i/>
          <w:iCs/>
          <w:color w:val="C00000"/>
          <w:sz w:val="28"/>
          <w:szCs w:val="28"/>
        </w:rPr>
      </w:pPr>
      <w:r w:rsidRPr="00520A0A">
        <w:rPr>
          <w:rFonts w:ascii="Verdana" w:hAnsi="Verdana"/>
          <w:b/>
          <w:bCs/>
          <w:i/>
          <w:iCs/>
          <w:color w:val="C00000"/>
          <w:sz w:val="28"/>
          <w:szCs w:val="28"/>
        </w:rPr>
        <w:t>WHEN COURSE IS FULL</w:t>
      </w:r>
    </w:p>
    <w:p w14:paraId="4131246A" w14:textId="6AA2414F" w:rsidR="00A276FB" w:rsidRPr="00DA7938" w:rsidRDefault="00A276FB" w:rsidP="00B12A5D">
      <w:pPr>
        <w:spacing w:line="360" w:lineRule="auto"/>
        <w:jc w:val="center"/>
        <w:rPr>
          <w:rStyle w:val="Hyperlink"/>
          <w:rFonts w:ascii="Verdana" w:hAnsi="Verdana"/>
          <w:b/>
          <w:bCs/>
          <w:sz w:val="28"/>
          <w:szCs w:val="28"/>
        </w:rPr>
      </w:pPr>
      <w:hyperlink r:id="rId6" w:history="1">
        <w:r w:rsidRPr="00A276FB">
          <w:rPr>
            <w:rStyle w:val="Hyperlink"/>
            <w:rFonts w:ascii="Verdana" w:hAnsi="Verdana"/>
            <w:b/>
            <w:bCs/>
            <w:sz w:val="28"/>
            <w:szCs w:val="28"/>
          </w:rPr>
          <w:t>Register Here</w:t>
        </w:r>
      </w:hyperlink>
    </w:p>
    <w:p w14:paraId="2FFE6BA1" w14:textId="77777777" w:rsidR="00B12A5D" w:rsidRPr="003C7AA7" w:rsidRDefault="00B12A5D" w:rsidP="00B12A5D">
      <w:pPr>
        <w:spacing w:line="360" w:lineRule="auto"/>
        <w:jc w:val="center"/>
        <w:rPr>
          <w:rStyle w:val="Hyperlink"/>
          <w:rFonts w:ascii="Times New Roman" w:hAnsi="Times New Roman"/>
          <w:b/>
          <w:bCs/>
          <w:sz w:val="28"/>
          <w:szCs w:val="28"/>
        </w:rPr>
      </w:pPr>
    </w:p>
    <w:p w14:paraId="4E73BCC7" w14:textId="77777777" w:rsidR="00B12A5D" w:rsidRPr="00A51D6B" w:rsidRDefault="00B12A5D" w:rsidP="00B12A5D">
      <w:pPr>
        <w:spacing w:line="360" w:lineRule="auto"/>
        <w:jc w:val="center"/>
        <w:rPr>
          <w:rFonts w:ascii="Times New Roman" w:hAnsi="Times New Roman"/>
          <w:b/>
          <w:bCs/>
          <w:i/>
          <w:iCs/>
          <w:color w:val="C00000"/>
          <w:sz w:val="22"/>
        </w:rPr>
      </w:pPr>
      <w:r w:rsidRPr="00A51D6B">
        <w:rPr>
          <w:rFonts w:ascii="Times New Roman" w:hAnsi="Times New Roman"/>
          <w:b/>
          <w:bCs/>
          <w:i/>
          <w:iCs/>
          <w:color w:val="C00000"/>
          <w:sz w:val="22"/>
        </w:rPr>
        <w:t>*</w:t>
      </w:r>
      <w:r w:rsidRPr="00A51D6B">
        <w:rPr>
          <w:rFonts w:ascii="Times New Roman" w:hAnsi="Times New Roman"/>
          <w:b/>
          <w:bCs/>
          <w:i/>
          <w:iCs/>
          <w:sz w:val="22"/>
        </w:rPr>
        <w:t xml:space="preserve"> CHECK YOUR EMAIL FOR THE ZOOM LINK. IT WILL BE SENT</w:t>
      </w:r>
      <w:r>
        <w:rPr>
          <w:rFonts w:ascii="Times New Roman" w:hAnsi="Times New Roman"/>
          <w:b/>
          <w:bCs/>
          <w:i/>
          <w:iCs/>
          <w:sz w:val="22"/>
        </w:rPr>
        <w:t xml:space="preserve"> FRIDAY</w:t>
      </w:r>
      <w:r w:rsidRPr="00A51D6B">
        <w:rPr>
          <w:rFonts w:ascii="Times New Roman" w:hAnsi="Times New Roman"/>
          <w:b/>
          <w:bCs/>
          <w:i/>
          <w:iCs/>
          <w:sz w:val="22"/>
        </w:rPr>
        <w:t xml:space="preserve"> BEFORE THE COURSE </w:t>
      </w:r>
      <w:r w:rsidRPr="00A51D6B">
        <w:rPr>
          <w:rFonts w:ascii="Times New Roman" w:hAnsi="Times New Roman"/>
          <w:b/>
          <w:bCs/>
          <w:i/>
          <w:iCs/>
          <w:color w:val="C00000"/>
          <w:sz w:val="22"/>
        </w:rPr>
        <w:t>*</w:t>
      </w:r>
    </w:p>
    <w:p w14:paraId="211D9B7D" w14:textId="77777777" w:rsidR="00B12A5D" w:rsidRPr="00A51D6B" w:rsidRDefault="00B12A5D" w:rsidP="00B12A5D">
      <w:pPr>
        <w:spacing w:line="360" w:lineRule="auto"/>
        <w:jc w:val="center"/>
        <w:rPr>
          <w:rFonts w:ascii="Times New Roman" w:hAnsi="Times New Roman"/>
          <w:b/>
          <w:bCs/>
          <w:i/>
          <w:iCs/>
          <w:sz w:val="28"/>
          <w:szCs w:val="28"/>
        </w:rPr>
      </w:pPr>
    </w:p>
    <w:p w14:paraId="07E2BCFE" w14:textId="77777777" w:rsidR="00B12A5D" w:rsidRPr="0094327D" w:rsidRDefault="00B12A5D" w:rsidP="00B12A5D">
      <w:pPr>
        <w:spacing w:line="360" w:lineRule="auto"/>
        <w:jc w:val="center"/>
        <w:rPr>
          <w:rFonts w:ascii="Times New Roman" w:hAnsi="Times New Roman"/>
          <w:b/>
          <w:bCs/>
          <w:i/>
          <w:iCs/>
          <w:sz w:val="32"/>
          <w:szCs w:val="32"/>
        </w:rPr>
      </w:pPr>
      <w:r w:rsidRPr="1B725B07">
        <w:rPr>
          <w:rFonts w:ascii="Times New Roman" w:hAnsi="Times New Roman"/>
          <w:b/>
          <w:bCs/>
          <w:i/>
          <w:iCs/>
          <w:sz w:val="32"/>
          <w:szCs w:val="32"/>
          <w:u w:val="single"/>
        </w:rPr>
        <w:t xml:space="preserve">CE </w:t>
      </w:r>
      <w:r>
        <w:rPr>
          <w:rFonts w:ascii="Times New Roman" w:hAnsi="Times New Roman"/>
          <w:b/>
          <w:bCs/>
          <w:i/>
          <w:iCs/>
          <w:sz w:val="32"/>
          <w:szCs w:val="32"/>
          <w:u w:val="single"/>
        </w:rPr>
        <w:t>Coordinator</w:t>
      </w:r>
      <w:r w:rsidRPr="1B725B07">
        <w:rPr>
          <w:rFonts w:ascii="Times New Roman" w:hAnsi="Times New Roman"/>
          <w:b/>
          <w:bCs/>
          <w:i/>
          <w:iCs/>
          <w:sz w:val="32"/>
          <w:szCs w:val="32"/>
        </w:rPr>
        <w:t xml:space="preserve"> </w:t>
      </w:r>
    </w:p>
    <w:p w14:paraId="207900B1" w14:textId="77777777" w:rsidR="00B12A5D" w:rsidRDefault="00B12A5D" w:rsidP="00B12A5D">
      <w:pPr>
        <w:spacing w:line="360" w:lineRule="auto"/>
        <w:jc w:val="center"/>
        <w:rPr>
          <w:rFonts w:ascii="Times New Roman" w:hAnsi="Times New Roman"/>
          <w:b/>
          <w:bCs/>
          <w:i/>
          <w:iCs/>
          <w:sz w:val="28"/>
          <w:szCs w:val="28"/>
        </w:rPr>
      </w:pPr>
      <w:r w:rsidRPr="1B725B07">
        <w:rPr>
          <w:rFonts w:ascii="Times New Roman" w:hAnsi="Times New Roman"/>
          <w:b/>
          <w:bCs/>
          <w:i/>
          <w:iCs/>
          <w:sz w:val="28"/>
          <w:szCs w:val="28"/>
        </w:rPr>
        <w:t>Jennifer De</w:t>
      </w:r>
      <w:r>
        <w:rPr>
          <w:rFonts w:ascii="Times New Roman" w:hAnsi="Times New Roman"/>
          <w:b/>
          <w:bCs/>
          <w:i/>
          <w:iCs/>
          <w:sz w:val="28"/>
          <w:szCs w:val="28"/>
        </w:rPr>
        <w:t>Maio</w:t>
      </w:r>
      <w:r w:rsidRPr="1B725B07">
        <w:rPr>
          <w:rFonts w:ascii="Times New Roman" w:hAnsi="Times New Roman"/>
          <w:b/>
          <w:bCs/>
          <w:i/>
          <w:iCs/>
          <w:sz w:val="28"/>
          <w:szCs w:val="28"/>
        </w:rPr>
        <w:t xml:space="preserve">, </w:t>
      </w:r>
      <w:r w:rsidRPr="006C5704">
        <w:rPr>
          <w:rFonts w:ascii="Times New Roman" w:hAnsi="Times New Roman"/>
          <w:b/>
          <w:bCs/>
          <w:i/>
          <w:iCs/>
          <w:color w:val="0000FF"/>
          <w:sz w:val="28"/>
          <w:szCs w:val="28"/>
          <w:u w:val="single"/>
        </w:rPr>
        <w:t>jenniferedeutsch@gmail.com</w:t>
      </w:r>
    </w:p>
    <w:p w14:paraId="5D1C446A" w14:textId="77777777" w:rsidR="00B12A5D" w:rsidRDefault="00B12A5D" w:rsidP="00B12A5D">
      <w:pPr>
        <w:spacing w:line="360" w:lineRule="auto"/>
        <w:jc w:val="center"/>
        <w:rPr>
          <w:rFonts w:ascii="Times New Roman" w:hAnsi="Times New Roman"/>
          <w:b/>
          <w:i/>
          <w:sz w:val="28"/>
          <w:szCs w:val="28"/>
        </w:rPr>
      </w:pPr>
      <w:r>
        <w:rPr>
          <w:rFonts w:ascii="Times New Roman" w:hAnsi="Times New Roman"/>
          <w:b/>
          <w:i/>
          <w:sz w:val="28"/>
          <w:szCs w:val="28"/>
        </w:rPr>
        <w:t>Text or call 973-224-2688 Volunteers welcomed!</w:t>
      </w:r>
    </w:p>
    <w:p w14:paraId="2079869A" w14:textId="77777777" w:rsidR="00B12A5D" w:rsidRDefault="00B12A5D" w:rsidP="00B12A5D">
      <w:pPr>
        <w:spacing w:line="360" w:lineRule="auto"/>
        <w:jc w:val="center"/>
      </w:pPr>
      <w:hyperlink r:id="rId7">
        <w:r w:rsidRPr="1B725B07">
          <w:rPr>
            <w:rStyle w:val="Hyperlink"/>
            <w:rFonts w:ascii="Times New Roman" w:hAnsi="Times New Roman"/>
            <w:b/>
            <w:bCs/>
            <w:sz w:val="28"/>
            <w:szCs w:val="28"/>
          </w:rPr>
          <w:t>Centralnjdha@gmail.com</w:t>
        </w:r>
      </w:hyperlink>
    </w:p>
    <w:p w14:paraId="0FA97BB9" w14:textId="77777777" w:rsidR="00EE4E5A" w:rsidRDefault="00EE4E5A" w:rsidP="00A276FB">
      <w:pPr>
        <w:spacing w:line="360" w:lineRule="auto"/>
        <w:jc w:val="center"/>
      </w:pPr>
    </w:p>
    <w:p w14:paraId="2BE101AD" w14:textId="77777777" w:rsidR="00EE4E5A" w:rsidRDefault="00EE4E5A" w:rsidP="00A276FB">
      <w:pPr>
        <w:spacing w:line="360" w:lineRule="auto"/>
        <w:jc w:val="center"/>
      </w:pPr>
    </w:p>
    <w:p w14:paraId="202FB710" w14:textId="2C9D022E" w:rsidR="00A276FB" w:rsidRPr="00A276FB" w:rsidRDefault="00A276FB" w:rsidP="00A276FB">
      <w:pPr>
        <w:ind w:left="0" w:firstLine="0"/>
        <w:jc w:val="center"/>
        <w:rPr>
          <w:rFonts w:cs="Arial"/>
          <w:b/>
          <w:bCs/>
          <w:sz w:val="28"/>
          <w:szCs w:val="28"/>
        </w:rPr>
      </w:pPr>
      <w:r w:rsidRPr="00A276FB">
        <w:rPr>
          <w:rFonts w:cs="Arial"/>
          <w:b/>
          <w:bCs/>
          <w:sz w:val="28"/>
          <w:szCs w:val="28"/>
        </w:rPr>
        <w:lastRenderedPageBreak/>
        <w:t>About Dr. Morgan A. Atanasio, DDS, MDS</w:t>
      </w:r>
    </w:p>
    <w:p w14:paraId="70FB3C93" w14:textId="50FBCAC2" w:rsidR="00A276FB" w:rsidRPr="00A276FB" w:rsidRDefault="00A276FB" w:rsidP="00A276FB">
      <w:pPr>
        <w:ind w:left="0" w:firstLine="0"/>
        <w:jc w:val="center"/>
        <w:rPr>
          <w:rFonts w:cs="Arial"/>
        </w:rPr>
      </w:pPr>
      <w:r w:rsidRPr="00A276FB">
        <w:rPr>
          <w:rFonts w:cs="Arial"/>
          <w:b/>
          <w:noProof/>
          <w:sz w:val="22"/>
          <w:lang w:val="en"/>
        </w:rPr>
        <w:drawing>
          <wp:anchor distT="0" distB="0" distL="114300" distR="114300" simplePos="0" relativeHeight="251658240" behindDoc="0" locked="0" layoutInCell="1" allowOverlap="1" wp14:anchorId="1E86646E" wp14:editId="58535342">
            <wp:simplePos x="0" y="0"/>
            <wp:positionH relativeFrom="margin">
              <wp:align>left</wp:align>
            </wp:positionH>
            <wp:positionV relativeFrom="paragraph">
              <wp:posOffset>167005</wp:posOffset>
            </wp:positionV>
            <wp:extent cx="1764665" cy="1619250"/>
            <wp:effectExtent l="0" t="0" r="6985" b="0"/>
            <wp:wrapThrough wrapText="bothSides">
              <wp:wrapPolygon edited="0">
                <wp:start x="0" y="0"/>
                <wp:lineTo x="0" y="21346"/>
                <wp:lineTo x="21452" y="21346"/>
                <wp:lineTo x="21452" y="0"/>
                <wp:lineTo x="0" y="0"/>
              </wp:wrapPolygon>
            </wp:wrapThrough>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extLst>
                        <a:ext uri="{28A0092B-C50C-407E-A947-70E740481C1C}">
                          <a14:useLocalDpi xmlns:a14="http://schemas.microsoft.com/office/drawing/2010/main" val="0"/>
                        </a:ext>
                      </a:extLst>
                    </a:blip>
                    <a:srcRect t="4085" b="4086"/>
                    <a:stretch>
                      <a:fillRect/>
                    </a:stretch>
                  </pic:blipFill>
                  <pic:spPr>
                    <a:xfrm>
                      <a:off x="0" y="0"/>
                      <a:ext cx="1770007" cy="1623601"/>
                    </a:xfrm>
                    <a:prstGeom prst="rect">
                      <a:avLst/>
                    </a:prstGeom>
                    <a:ln/>
                  </pic:spPr>
                </pic:pic>
              </a:graphicData>
            </a:graphic>
            <wp14:sizeRelH relativeFrom="margin">
              <wp14:pctWidth>0</wp14:pctWidth>
            </wp14:sizeRelH>
            <wp14:sizeRelV relativeFrom="margin">
              <wp14:pctHeight>0</wp14:pctHeight>
            </wp14:sizeRelV>
          </wp:anchor>
        </w:drawing>
      </w:r>
    </w:p>
    <w:p w14:paraId="67034DF7" w14:textId="5D693F39" w:rsidR="00A276FB" w:rsidRPr="00A276FB" w:rsidRDefault="00A276FB" w:rsidP="00A276FB">
      <w:pPr>
        <w:ind w:left="0" w:firstLine="0"/>
        <w:rPr>
          <w:rFonts w:cs="Arial"/>
          <w:sz w:val="22"/>
        </w:rPr>
      </w:pPr>
      <w:r w:rsidRPr="00A276FB">
        <w:rPr>
          <w:rFonts w:cs="Arial"/>
          <w:sz w:val="22"/>
        </w:rPr>
        <w:t xml:space="preserve">Dr. Morgan Atanasio, DDS, MDS is </w:t>
      </w:r>
      <w:r w:rsidR="00D32819">
        <w:rPr>
          <w:rFonts w:cs="Arial"/>
          <w:sz w:val="22"/>
        </w:rPr>
        <w:t xml:space="preserve">a </w:t>
      </w:r>
      <w:r w:rsidRPr="00A276FB">
        <w:rPr>
          <w:rFonts w:cs="Arial"/>
          <w:sz w:val="22"/>
        </w:rPr>
        <w:t>distinguished board-certified periodontist and implant surgeon who blends advanced clinical expertise with an empathetic, patient-first philosophy, shaped in part by her years as a dental patient.</w:t>
      </w:r>
    </w:p>
    <w:p w14:paraId="04D2EBB4" w14:textId="77777777" w:rsidR="00A276FB" w:rsidRPr="00A276FB" w:rsidRDefault="00A276FB" w:rsidP="00A276FB">
      <w:pPr>
        <w:spacing w:before="240" w:after="240"/>
        <w:ind w:left="0" w:firstLine="0"/>
        <w:rPr>
          <w:rFonts w:cs="Arial"/>
          <w:sz w:val="22"/>
        </w:rPr>
      </w:pPr>
      <w:r w:rsidRPr="00A276FB">
        <w:rPr>
          <w:rFonts w:cs="Arial"/>
          <w:sz w:val="22"/>
        </w:rPr>
        <w:t>Dr. Atanasio specializes in a wide range of procedures, including periodontal surgery, dental implants, gum grafting, bone regeneration, esthetic gummy smile correction and gum recontouring, LASER-assisted therapy, tooth extractions, and full-arch implant rehabilitation. By utilizing cutting-edge technologies like minimally invasive techniques and digital dentistry including 3D imaging, she delivers precise, personalized care designed to achieve lasting oral health and confident smiles.</w:t>
      </w:r>
    </w:p>
    <w:p w14:paraId="2AA90C3E" w14:textId="697B82A5" w:rsidR="00A276FB" w:rsidRPr="00A276FB" w:rsidRDefault="00A276FB" w:rsidP="00A276FB">
      <w:pPr>
        <w:spacing w:before="240" w:after="240"/>
        <w:ind w:left="0" w:firstLine="0"/>
        <w:rPr>
          <w:rFonts w:cs="Arial"/>
          <w:sz w:val="22"/>
        </w:rPr>
      </w:pPr>
      <w:r w:rsidRPr="00A276FB">
        <w:rPr>
          <w:rFonts w:cs="Arial"/>
          <w:sz w:val="22"/>
        </w:rPr>
        <w:t>Dr. Atanasio earned her Doctor of Dental Surgery degree from Touro College of Dental Medicine, where she served as Student Government President for four years and graduated at the top of her class as a member of the prestigious Omicron Kappa Upsilon Dental Honor Society. She continued her training at Rutgers School of Dental Medicine, completing a Master of Dental Science degree and advanced specialty education in Periodontology and Implant Dentistry. Today, she holds Diplomate status with the American Board of Periodontology and is a LANAP-certified clinician.</w:t>
      </w:r>
    </w:p>
    <w:p w14:paraId="324774AD" w14:textId="3CFD1B08" w:rsidR="00A276FB" w:rsidRPr="00A276FB" w:rsidRDefault="00A276FB" w:rsidP="00A276FB">
      <w:pPr>
        <w:spacing w:before="240" w:after="240"/>
        <w:ind w:left="0" w:firstLine="0"/>
        <w:rPr>
          <w:rFonts w:cs="Arial"/>
          <w:sz w:val="22"/>
        </w:rPr>
      </w:pPr>
      <w:r w:rsidRPr="00A276FB">
        <w:rPr>
          <w:rFonts w:cs="Arial"/>
          <w:sz w:val="22"/>
        </w:rPr>
        <w:t>Her commitment to leadership extends beyond the operatory. A former collegiate athlete in field hockey and rowing at Hobart &amp; William Smith Colleges, Dr. Atanasio credits her athletic background for instilling discipline, teamwork, and a passion for serving others. She remains deeply involved in organized dentistry as a trustee of the New Jersey Society of Periodontics and Implant Dentistry, a member of two committees for the New Jersey Dental Association, and Vice President of Touro College of Dental Medicine’s Alumni Association. She is also the founder of The Social Smile Network, a community empowering woman in dentistry to amplify their voices and grow their brands.</w:t>
      </w:r>
    </w:p>
    <w:p w14:paraId="7A66C384" w14:textId="0188B3E3" w:rsidR="00A276FB" w:rsidRPr="00A276FB" w:rsidRDefault="00A276FB" w:rsidP="00A276FB">
      <w:pPr>
        <w:spacing w:before="240" w:after="240"/>
        <w:ind w:left="0" w:firstLine="0"/>
        <w:rPr>
          <w:rFonts w:cs="Arial"/>
          <w:sz w:val="28"/>
          <w:szCs w:val="28"/>
        </w:rPr>
      </w:pPr>
      <w:r w:rsidRPr="00A276FB">
        <w:rPr>
          <w:rFonts w:cs="Arial"/>
          <w:sz w:val="22"/>
        </w:rPr>
        <w:t>When she’s not in the office, Dr. Atanasio enjoys staying active with her master's rowing team, traveling with her husband, Patrick Taranto, and trying new cuisines. They share their home with their energetic English Setter, Séamus.</w:t>
      </w:r>
    </w:p>
    <w:p w14:paraId="33551A8C" w14:textId="52116AC2" w:rsidR="00A276FB" w:rsidRPr="00A276FB" w:rsidRDefault="00A276FB" w:rsidP="00A276FB">
      <w:pPr>
        <w:shd w:val="clear" w:color="auto" w:fill="FFFFFF"/>
        <w:spacing w:before="240" w:after="240"/>
        <w:jc w:val="center"/>
        <w:rPr>
          <w:rFonts w:cs="Arial"/>
          <w:b/>
          <w:color w:val="1F1F1F"/>
          <w:sz w:val="28"/>
          <w:szCs w:val="28"/>
        </w:rPr>
      </w:pPr>
      <w:r w:rsidRPr="00A276FB">
        <w:rPr>
          <w:rFonts w:cs="Arial"/>
          <w:b/>
          <w:color w:val="1F1F1F"/>
          <w:sz w:val="28"/>
          <w:szCs w:val="28"/>
        </w:rPr>
        <w:t>The Probe Knows: Course Description</w:t>
      </w:r>
    </w:p>
    <w:p w14:paraId="2C58C562" w14:textId="77777777" w:rsidR="00EE4E5A" w:rsidRDefault="00A276FB" w:rsidP="00A276FB">
      <w:pPr>
        <w:shd w:val="clear" w:color="auto" w:fill="FFFFFF"/>
        <w:spacing w:before="240" w:after="240"/>
        <w:contextualSpacing/>
        <w:rPr>
          <w:rFonts w:cs="Arial"/>
          <w:color w:val="1F1F1F"/>
          <w:sz w:val="22"/>
        </w:rPr>
      </w:pPr>
      <w:r w:rsidRPr="00A276FB">
        <w:rPr>
          <w:rFonts w:cs="Arial"/>
          <w:color w:val="1F1F1F"/>
          <w:sz w:val="22"/>
        </w:rPr>
        <w:t>This dynamic, evidence-based course is designed to empower dental hygienists with the knowledge and</w:t>
      </w:r>
      <w:r>
        <w:rPr>
          <w:rFonts w:cs="Arial"/>
          <w:color w:val="1F1F1F"/>
          <w:sz w:val="22"/>
        </w:rPr>
        <w:t xml:space="preserve"> </w:t>
      </w:r>
      <w:r w:rsidRPr="00A276FB">
        <w:rPr>
          <w:rFonts w:cs="Arial"/>
          <w:color w:val="1F1F1F"/>
          <w:sz w:val="22"/>
        </w:rPr>
        <w:t>confidence to</w:t>
      </w:r>
    </w:p>
    <w:p w14:paraId="4EA56D94" w14:textId="77777777" w:rsidR="00EE4E5A" w:rsidRDefault="00A276FB" w:rsidP="00A276FB">
      <w:pPr>
        <w:shd w:val="clear" w:color="auto" w:fill="FFFFFF"/>
        <w:spacing w:before="240" w:after="240"/>
        <w:contextualSpacing/>
        <w:rPr>
          <w:rFonts w:cs="Arial"/>
          <w:color w:val="1F1F1F"/>
          <w:sz w:val="22"/>
        </w:rPr>
      </w:pPr>
      <w:r w:rsidRPr="00A276FB">
        <w:rPr>
          <w:rFonts w:cs="Arial"/>
          <w:color w:val="1F1F1F"/>
          <w:sz w:val="22"/>
        </w:rPr>
        <w:t>accurately diagnose and manage periodontal and peri-implant diseases. With periodontal and</w:t>
      </w:r>
      <w:r>
        <w:rPr>
          <w:rFonts w:cs="Arial"/>
          <w:color w:val="1F1F1F"/>
          <w:sz w:val="22"/>
        </w:rPr>
        <w:t xml:space="preserve"> </w:t>
      </w:r>
      <w:r w:rsidRPr="00A276FB">
        <w:rPr>
          <w:rFonts w:cs="Arial"/>
          <w:color w:val="1F1F1F"/>
          <w:sz w:val="22"/>
        </w:rPr>
        <w:t>peri-implant conditions</w:t>
      </w:r>
    </w:p>
    <w:p w14:paraId="655D5588" w14:textId="77777777" w:rsidR="00EE4E5A" w:rsidRDefault="00A276FB" w:rsidP="00A276FB">
      <w:pPr>
        <w:shd w:val="clear" w:color="auto" w:fill="FFFFFF"/>
        <w:spacing w:before="240" w:after="240"/>
        <w:contextualSpacing/>
        <w:rPr>
          <w:rFonts w:cs="Arial"/>
          <w:color w:val="1F1F1F"/>
          <w:sz w:val="22"/>
        </w:rPr>
      </w:pPr>
      <w:r w:rsidRPr="00A276FB">
        <w:rPr>
          <w:rFonts w:cs="Arial"/>
          <w:color w:val="1F1F1F"/>
          <w:sz w:val="22"/>
        </w:rPr>
        <w:t>affecting a significant portion of the adult population, hygienists serve as the first line</w:t>
      </w:r>
      <w:r>
        <w:rPr>
          <w:rFonts w:cs="Arial"/>
          <w:color w:val="1F1F1F"/>
          <w:sz w:val="22"/>
        </w:rPr>
        <w:t xml:space="preserve"> </w:t>
      </w:r>
      <w:r w:rsidRPr="00A276FB">
        <w:rPr>
          <w:rFonts w:cs="Arial"/>
          <w:color w:val="1F1F1F"/>
          <w:sz w:val="22"/>
        </w:rPr>
        <w:t>of defense in early detection and</w:t>
      </w:r>
    </w:p>
    <w:p w14:paraId="10C232C7" w14:textId="601D76A4" w:rsidR="00A276FB" w:rsidRPr="00A276FB" w:rsidRDefault="00A276FB" w:rsidP="00A276FB">
      <w:pPr>
        <w:shd w:val="clear" w:color="auto" w:fill="FFFFFF"/>
        <w:spacing w:before="240" w:after="240"/>
        <w:contextualSpacing/>
        <w:rPr>
          <w:rFonts w:cs="Arial"/>
          <w:color w:val="1F1F1F"/>
          <w:sz w:val="22"/>
        </w:rPr>
      </w:pPr>
      <w:r w:rsidRPr="00A276FB">
        <w:rPr>
          <w:rFonts w:cs="Arial"/>
          <w:color w:val="1F1F1F"/>
          <w:sz w:val="22"/>
        </w:rPr>
        <w:t>prevention.</w:t>
      </w:r>
    </w:p>
    <w:p w14:paraId="4A6586DD" w14:textId="77777777" w:rsidR="00A276FB" w:rsidRPr="00A276FB" w:rsidRDefault="00A276FB" w:rsidP="00A276FB">
      <w:pPr>
        <w:shd w:val="clear" w:color="auto" w:fill="FFFFFF"/>
        <w:spacing w:before="240" w:after="240"/>
        <w:contextualSpacing/>
        <w:rPr>
          <w:rFonts w:cs="Arial"/>
          <w:color w:val="1F1F1F"/>
          <w:sz w:val="22"/>
        </w:rPr>
      </w:pPr>
    </w:p>
    <w:p w14:paraId="6D88918F" w14:textId="77777777" w:rsidR="00EE4E5A" w:rsidRDefault="00A276FB" w:rsidP="00EE4E5A">
      <w:pPr>
        <w:shd w:val="clear" w:color="auto" w:fill="FFFFFF"/>
        <w:spacing w:before="240" w:after="240"/>
        <w:contextualSpacing/>
        <w:rPr>
          <w:rFonts w:cs="Arial"/>
          <w:color w:val="1F1F1F"/>
          <w:sz w:val="22"/>
        </w:rPr>
      </w:pPr>
      <w:r w:rsidRPr="00A276FB">
        <w:rPr>
          <w:rFonts w:cs="Arial"/>
          <w:color w:val="1F1F1F"/>
          <w:sz w:val="22"/>
        </w:rPr>
        <w:t>Participants will revisit the fundamentals of periodontal probing, sharpen their diagnostic skills using the 2017</w:t>
      </w:r>
      <w:r w:rsidR="00EE4E5A">
        <w:rPr>
          <w:rFonts w:cs="Arial"/>
          <w:color w:val="1F1F1F"/>
          <w:sz w:val="22"/>
        </w:rPr>
        <w:t xml:space="preserve"> </w:t>
      </w:r>
      <w:r w:rsidRPr="00A276FB">
        <w:rPr>
          <w:rFonts w:cs="Arial"/>
          <w:color w:val="1F1F1F"/>
          <w:sz w:val="22"/>
        </w:rPr>
        <w:t>AA</w:t>
      </w:r>
      <w:r w:rsidR="00EE4E5A">
        <w:rPr>
          <w:rFonts w:cs="Arial"/>
          <w:color w:val="1F1F1F"/>
          <w:sz w:val="22"/>
        </w:rPr>
        <w:t xml:space="preserve">P </w:t>
      </w:r>
    </w:p>
    <w:p w14:paraId="10A06D6D" w14:textId="77777777" w:rsidR="00EE4E5A" w:rsidRDefault="00A276FB" w:rsidP="00EE4E5A">
      <w:pPr>
        <w:shd w:val="clear" w:color="auto" w:fill="FFFFFF"/>
        <w:spacing w:before="240" w:after="240"/>
        <w:contextualSpacing/>
        <w:rPr>
          <w:rFonts w:cs="Arial"/>
          <w:color w:val="1F1F1F"/>
          <w:sz w:val="22"/>
        </w:rPr>
      </w:pPr>
      <w:r w:rsidRPr="00A276FB">
        <w:rPr>
          <w:rFonts w:cs="Arial"/>
          <w:color w:val="1F1F1F"/>
          <w:sz w:val="22"/>
        </w:rPr>
        <w:t>Classification, and learn to distinguish between health, gingivitis, periodontitis, and peri-implant diseases.</w:t>
      </w:r>
      <w:r w:rsidR="00EE4E5A">
        <w:rPr>
          <w:rFonts w:cs="Arial"/>
          <w:color w:val="1F1F1F"/>
          <w:sz w:val="22"/>
        </w:rPr>
        <w:t xml:space="preserve"> </w:t>
      </w:r>
      <w:r w:rsidRPr="00A276FB">
        <w:rPr>
          <w:rFonts w:cs="Arial"/>
          <w:color w:val="1F1F1F"/>
          <w:sz w:val="22"/>
        </w:rPr>
        <w:t xml:space="preserve">The course </w:t>
      </w:r>
    </w:p>
    <w:p w14:paraId="142172EF" w14:textId="77777777" w:rsidR="00EE4E5A" w:rsidRDefault="00A276FB" w:rsidP="00EE4E5A">
      <w:pPr>
        <w:shd w:val="clear" w:color="auto" w:fill="FFFFFF"/>
        <w:spacing w:before="240" w:after="240"/>
        <w:contextualSpacing/>
        <w:rPr>
          <w:rFonts w:cs="Arial"/>
          <w:color w:val="1F1F1F"/>
          <w:sz w:val="22"/>
        </w:rPr>
      </w:pPr>
      <w:r w:rsidRPr="00A276FB">
        <w:rPr>
          <w:rFonts w:cs="Arial"/>
          <w:color w:val="1F1F1F"/>
          <w:sz w:val="22"/>
        </w:rPr>
        <w:t>debunks common myths—such as the hesitancy to probe around implants—and reinforces best</w:t>
      </w:r>
      <w:r w:rsidR="00EE4E5A">
        <w:rPr>
          <w:rFonts w:cs="Arial"/>
          <w:color w:val="1F1F1F"/>
          <w:sz w:val="22"/>
        </w:rPr>
        <w:t xml:space="preserve"> </w:t>
      </w:r>
      <w:r w:rsidRPr="00A276FB">
        <w:rPr>
          <w:rFonts w:cs="Arial"/>
          <w:color w:val="1F1F1F"/>
          <w:sz w:val="22"/>
        </w:rPr>
        <w:t xml:space="preserve">practices for both </w:t>
      </w:r>
    </w:p>
    <w:p w14:paraId="0522B64B" w14:textId="759299C1" w:rsidR="00A276FB" w:rsidRPr="00A276FB" w:rsidRDefault="00A276FB" w:rsidP="00EE4E5A">
      <w:pPr>
        <w:shd w:val="clear" w:color="auto" w:fill="FFFFFF"/>
        <w:spacing w:before="240" w:after="240"/>
        <w:contextualSpacing/>
        <w:rPr>
          <w:rFonts w:cs="Arial"/>
          <w:color w:val="1F1F1F"/>
          <w:sz w:val="22"/>
        </w:rPr>
      </w:pPr>
      <w:r w:rsidRPr="00A276FB">
        <w:rPr>
          <w:rFonts w:cs="Arial"/>
          <w:color w:val="1F1F1F"/>
          <w:sz w:val="22"/>
        </w:rPr>
        <w:t>natural dentition and implant maintenance.</w:t>
      </w:r>
    </w:p>
    <w:p w14:paraId="246714BD" w14:textId="77777777" w:rsidR="00A276FB" w:rsidRPr="00A276FB" w:rsidRDefault="00A276FB" w:rsidP="00A276FB">
      <w:pPr>
        <w:shd w:val="clear" w:color="auto" w:fill="FFFFFF"/>
        <w:spacing w:before="240" w:after="240"/>
        <w:contextualSpacing/>
        <w:rPr>
          <w:rFonts w:cs="Arial"/>
          <w:color w:val="1F1F1F"/>
          <w:sz w:val="22"/>
        </w:rPr>
      </w:pPr>
    </w:p>
    <w:p w14:paraId="27D98C2F" w14:textId="77777777" w:rsidR="00EE4E5A" w:rsidRDefault="00A276FB" w:rsidP="00EE4E5A">
      <w:pPr>
        <w:shd w:val="clear" w:color="auto" w:fill="FFFFFF"/>
        <w:spacing w:before="240" w:after="240"/>
        <w:contextualSpacing/>
        <w:rPr>
          <w:rFonts w:cs="Arial"/>
          <w:color w:val="1F1F1F"/>
          <w:sz w:val="22"/>
        </w:rPr>
      </w:pPr>
      <w:r w:rsidRPr="00A276FB">
        <w:rPr>
          <w:rFonts w:cs="Arial"/>
          <w:color w:val="1F1F1F"/>
          <w:sz w:val="22"/>
        </w:rPr>
        <w:t>Through case-based learning, attendees will engage in real-world scenarios to solidify clinical decision-making,</w:t>
      </w:r>
      <w:r w:rsidR="00EE4E5A">
        <w:rPr>
          <w:rFonts w:cs="Arial"/>
          <w:color w:val="1F1F1F"/>
          <w:sz w:val="22"/>
        </w:rPr>
        <w:t xml:space="preserve"> </w:t>
      </w:r>
      <w:r w:rsidRPr="00A276FB">
        <w:rPr>
          <w:rFonts w:cs="Arial"/>
          <w:color w:val="1F1F1F"/>
          <w:sz w:val="22"/>
        </w:rPr>
        <w:t xml:space="preserve">improve </w:t>
      </w:r>
    </w:p>
    <w:p w14:paraId="3AB838DE" w14:textId="77777777" w:rsidR="00EE4E5A" w:rsidRDefault="00A276FB" w:rsidP="00EE4E5A">
      <w:pPr>
        <w:shd w:val="clear" w:color="auto" w:fill="FFFFFF"/>
        <w:spacing w:before="240" w:after="240"/>
        <w:contextualSpacing/>
        <w:rPr>
          <w:rFonts w:cs="Arial"/>
          <w:color w:val="1F1F1F"/>
          <w:sz w:val="22"/>
        </w:rPr>
      </w:pPr>
      <w:r w:rsidRPr="00A276FB">
        <w:rPr>
          <w:rFonts w:cs="Arial"/>
          <w:color w:val="1F1F1F"/>
          <w:sz w:val="22"/>
        </w:rPr>
        <w:t>diagnostic accuracy, and understand when to treat, monitor, or refer. From probing technique to</w:t>
      </w:r>
      <w:r w:rsidR="00EE4E5A">
        <w:rPr>
          <w:rFonts w:cs="Arial"/>
          <w:color w:val="1F1F1F"/>
          <w:sz w:val="22"/>
        </w:rPr>
        <w:t xml:space="preserve"> </w:t>
      </w:r>
      <w:r w:rsidRPr="00A276FB">
        <w:rPr>
          <w:rFonts w:cs="Arial"/>
          <w:color w:val="1F1F1F"/>
          <w:sz w:val="22"/>
        </w:rPr>
        <w:t xml:space="preserve">patient education and </w:t>
      </w:r>
    </w:p>
    <w:p w14:paraId="6E602A09" w14:textId="77777777" w:rsidR="00EE4E5A" w:rsidRDefault="00A276FB" w:rsidP="00EE4E5A">
      <w:pPr>
        <w:shd w:val="clear" w:color="auto" w:fill="FFFFFF"/>
        <w:spacing w:before="240" w:after="240"/>
        <w:contextualSpacing/>
        <w:rPr>
          <w:rFonts w:cs="Arial"/>
          <w:color w:val="1F1F1F"/>
          <w:sz w:val="22"/>
        </w:rPr>
      </w:pPr>
      <w:r w:rsidRPr="00A276FB">
        <w:rPr>
          <w:rFonts w:cs="Arial"/>
          <w:color w:val="1F1F1F"/>
          <w:sz w:val="22"/>
        </w:rPr>
        <w:t>long-term management strategies, this course offers practical tools that can be</w:t>
      </w:r>
      <w:r w:rsidR="00EE4E5A">
        <w:rPr>
          <w:rFonts w:cs="Arial"/>
          <w:color w:val="1F1F1F"/>
          <w:sz w:val="22"/>
        </w:rPr>
        <w:t xml:space="preserve"> </w:t>
      </w:r>
      <w:r w:rsidRPr="00A276FB">
        <w:rPr>
          <w:rFonts w:cs="Arial"/>
          <w:color w:val="1F1F1F"/>
          <w:sz w:val="22"/>
        </w:rPr>
        <w:t>implemented in clinical practice</w:t>
      </w:r>
      <w:r w:rsidR="00EE4E5A">
        <w:rPr>
          <w:rFonts w:cs="Arial"/>
          <w:color w:val="1F1F1F"/>
          <w:sz w:val="22"/>
        </w:rPr>
        <w:t xml:space="preserve"> </w:t>
      </w:r>
    </w:p>
    <w:p w14:paraId="598A4E6D" w14:textId="147F2FF9" w:rsidR="00A276FB" w:rsidRPr="00A276FB" w:rsidRDefault="00A276FB" w:rsidP="00EE4E5A">
      <w:pPr>
        <w:shd w:val="clear" w:color="auto" w:fill="FFFFFF"/>
        <w:spacing w:before="240" w:after="240"/>
        <w:contextualSpacing/>
        <w:rPr>
          <w:rFonts w:cs="Arial"/>
          <w:color w:val="1F1F1F"/>
          <w:sz w:val="22"/>
        </w:rPr>
      </w:pPr>
      <w:r w:rsidRPr="00A276FB">
        <w:rPr>
          <w:rFonts w:cs="Arial"/>
          <w:color w:val="1F1F1F"/>
          <w:sz w:val="22"/>
        </w:rPr>
        <w:t>immediately.</w:t>
      </w:r>
    </w:p>
    <w:p w14:paraId="70BDFC09" w14:textId="7FF0F23F" w:rsidR="00A276FB" w:rsidRPr="00A276FB" w:rsidRDefault="00A276FB" w:rsidP="00A276FB">
      <w:pPr>
        <w:shd w:val="clear" w:color="auto" w:fill="FFFFFF"/>
        <w:spacing w:after="240"/>
        <w:jc w:val="center"/>
        <w:rPr>
          <w:rFonts w:cs="Arial"/>
          <w:b/>
          <w:color w:val="1F1F1F"/>
          <w:sz w:val="28"/>
          <w:szCs w:val="28"/>
        </w:rPr>
      </w:pPr>
      <w:r w:rsidRPr="00A276FB">
        <w:rPr>
          <w:rFonts w:cs="Arial"/>
          <w:b/>
          <w:color w:val="1F1F1F"/>
          <w:sz w:val="28"/>
          <w:szCs w:val="28"/>
        </w:rPr>
        <w:t>Learning Objectives:</w:t>
      </w:r>
    </w:p>
    <w:p w14:paraId="58132021" w14:textId="77777777" w:rsidR="00A276FB" w:rsidRPr="00A276FB" w:rsidRDefault="00A276FB" w:rsidP="00A276FB">
      <w:pPr>
        <w:pStyle w:val="ListParagraph"/>
        <w:numPr>
          <w:ilvl w:val="0"/>
          <w:numId w:val="1"/>
        </w:numPr>
        <w:shd w:val="clear" w:color="auto" w:fill="FFFFFF"/>
        <w:spacing w:after="240" w:line="276" w:lineRule="auto"/>
        <w:rPr>
          <w:rFonts w:cs="Arial"/>
          <w:color w:val="1F1F1F"/>
          <w:sz w:val="22"/>
        </w:rPr>
      </w:pPr>
      <w:r w:rsidRPr="00A276FB">
        <w:rPr>
          <w:rFonts w:cs="Arial"/>
          <w:color w:val="1F1F1F"/>
          <w:sz w:val="22"/>
        </w:rPr>
        <w:t>Enhance consistency in periodontal and peri-implant probing</w:t>
      </w:r>
    </w:p>
    <w:p w14:paraId="40F61AC5" w14:textId="77777777" w:rsidR="00A276FB" w:rsidRPr="00A276FB" w:rsidRDefault="00A276FB" w:rsidP="00A276FB">
      <w:pPr>
        <w:pStyle w:val="ListParagraph"/>
        <w:numPr>
          <w:ilvl w:val="0"/>
          <w:numId w:val="1"/>
        </w:numPr>
        <w:shd w:val="clear" w:color="auto" w:fill="FFFFFF"/>
        <w:spacing w:after="240" w:line="276" w:lineRule="auto"/>
        <w:rPr>
          <w:rFonts w:cs="Arial"/>
          <w:color w:val="1F1F1F"/>
          <w:sz w:val="22"/>
        </w:rPr>
      </w:pPr>
      <w:r w:rsidRPr="00A276FB">
        <w:rPr>
          <w:rFonts w:cs="Arial"/>
          <w:color w:val="1F1F1F"/>
          <w:sz w:val="22"/>
        </w:rPr>
        <w:t>Apply the latest AAP classification to clinical assessments</w:t>
      </w:r>
    </w:p>
    <w:p w14:paraId="159744B9" w14:textId="0AC4F4F5" w:rsidR="00A276FB" w:rsidRPr="00A276FB" w:rsidRDefault="00A276FB" w:rsidP="00A276FB">
      <w:pPr>
        <w:pStyle w:val="ListParagraph"/>
        <w:numPr>
          <w:ilvl w:val="0"/>
          <w:numId w:val="1"/>
        </w:numPr>
        <w:shd w:val="clear" w:color="auto" w:fill="FFFFFF"/>
        <w:spacing w:after="240" w:line="276" w:lineRule="auto"/>
        <w:rPr>
          <w:rFonts w:cs="Arial"/>
          <w:color w:val="1F1F1F"/>
          <w:sz w:val="22"/>
        </w:rPr>
      </w:pPr>
      <w:r w:rsidRPr="00A276FB">
        <w:rPr>
          <w:rFonts w:cs="Arial"/>
          <w:color w:val="1F1F1F"/>
          <w:sz w:val="22"/>
        </w:rPr>
        <w:t>Identify red flags and risk factors for disease progression</w:t>
      </w:r>
    </w:p>
    <w:p w14:paraId="5E3C525B" w14:textId="77777777" w:rsidR="00A276FB" w:rsidRPr="00A276FB" w:rsidRDefault="00A276FB" w:rsidP="00A276FB">
      <w:pPr>
        <w:pStyle w:val="ListParagraph"/>
        <w:numPr>
          <w:ilvl w:val="0"/>
          <w:numId w:val="1"/>
        </w:numPr>
        <w:shd w:val="clear" w:color="auto" w:fill="FFFFFF"/>
        <w:spacing w:after="240" w:line="276" w:lineRule="auto"/>
        <w:rPr>
          <w:rFonts w:cs="Arial"/>
          <w:color w:val="1F1F1F"/>
          <w:sz w:val="22"/>
        </w:rPr>
      </w:pPr>
      <w:r w:rsidRPr="00A276FB">
        <w:rPr>
          <w:rFonts w:cs="Arial"/>
          <w:color w:val="1F1F1F"/>
          <w:sz w:val="22"/>
        </w:rPr>
        <w:t>Differentiate treatment approaches for periodontal vs. peri-implant conditions</w:t>
      </w:r>
    </w:p>
    <w:p w14:paraId="6F267814" w14:textId="7DAC8376" w:rsidR="00A276FB" w:rsidRPr="00A276FB" w:rsidRDefault="00A276FB" w:rsidP="00A276FB">
      <w:pPr>
        <w:pStyle w:val="ListParagraph"/>
        <w:numPr>
          <w:ilvl w:val="0"/>
          <w:numId w:val="1"/>
        </w:numPr>
        <w:shd w:val="clear" w:color="auto" w:fill="FFFFFF"/>
        <w:spacing w:after="240" w:line="276" w:lineRule="auto"/>
        <w:rPr>
          <w:rFonts w:cs="Arial"/>
          <w:color w:val="1F1F1F"/>
          <w:sz w:val="22"/>
        </w:rPr>
      </w:pPr>
      <w:r w:rsidRPr="00A276FB">
        <w:rPr>
          <w:rFonts w:cs="Arial"/>
          <w:color w:val="1F1F1F"/>
          <w:sz w:val="22"/>
        </w:rPr>
        <w:t>Develop confidence in diagnosis, treatment planning, and referral decisions</w:t>
      </w:r>
      <w:r w:rsidRPr="00A276FB">
        <w:rPr>
          <w:rFonts w:cs="Arial"/>
          <w:color w:val="1F1F1F"/>
          <w:sz w:val="22"/>
        </w:rPr>
        <w:br/>
      </w:r>
    </w:p>
    <w:p w14:paraId="542FF2AF" w14:textId="720A1380" w:rsidR="00FE3BEE" w:rsidRPr="00EE4E5A" w:rsidRDefault="00A276FB" w:rsidP="00EE4E5A">
      <w:pPr>
        <w:shd w:val="clear" w:color="auto" w:fill="FFFFFF"/>
        <w:spacing w:after="240"/>
        <w:ind w:firstLine="0"/>
        <w:rPr>
          <w:rFonts w:cs="Arial"/>
          <w:color w:val="1F1F1F"/>
          <w:sz w:val="22"/>
        </w:rPr>
      </w:pPr>
      <w:r w:rsidRPr="00A276FB">
        <w:rPr>
          <w:rFonts w:cs="Arial"/>
          <w:b/>
          <w:color w:val="1F1F1F"/>
          <w:sz w:val="22"/>
        </w:rPr>
        <w:t>Ideal for:</w:t>
      </w:r>
      <w:r w:rsidRPr="00A276FB">
        <w:rPr>
          <w:rFonts w:cs="Arial"/>
          <w:b/>
          <w:color w:val="1F1F1F"/>
          <w:sz w:val="22"/>
        </w:rPr>
        <w:br/>
      </w:r>
      <w:r w:rsidRPr="00A276FB">
        <w:rPr>
          <w:rFonts w:cs="Arial"/>
          <w:color w:val="1F1F1F"/>
          <w:sz w:val="22"/>
        </w:rPr>
        <w:t xml:space="preserve"> Dental hygienists and other dental professionals seeking to strengthen their role in periodontal and implant care through hands-on, real-world applications.</w:t>
      </w:r>
    </w:p>
    <w:sectPr w:rsidR="00FE3BEE" w:rsidRPr="00EE4E5A" w:rsidSect="00A276FB">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42D96"/>
    <w:multiLevelType w:val="multilevel"/>
    <w:tmpl w:val="661A67B6"/>
    <w:lvl w:ilvl="0">
      <w:start w:val="1"/>
      <w:numFmt w:val="decimal"/>
      <w:lvlText w:val="%1)"/>
      <w:lvlJc w:val="left"/>
      <w:pPr>
        <w:ind w:left="720" w:hanging="360"/>
      </w:pPr>
      <w:rPr>
        <w:rFonts w:ascii="Arial" w:eastAsia="Calibri"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376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5D"/>
    <w:rsid w:val="00604299"/>
    <w:rsid w:val="00686744"/>
    <w:rsid w:val="00A276FB"/>
    <w:rsid w:val="00AD2124"/>
    <w:rsid w:val="00B12A5D"/>
    <w:rsid w:val="00CB19F0"/>
    <w:rsid w:val="00D32819"/>
    <w:rsid w:val="00D93F2F"/>
    <w:rsid w:val="00EE4E5A"/>
    <w:rsid w:val="00FE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8B9C"/>
  <w15:chartTrackingRefBased/>
  <w15:docId w15:val="{84877797-3EC0-4BD3-A25D-C6B180E2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5D"/>
    <w:pPr>
      <w:spacing w:after="0" w:line="240" w:lineRule="auto"/>
      <w:ind w:left="360" w:hanging="360"/>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B12A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12A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A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A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A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A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A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A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A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A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12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A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A5D"/>
    <w:rPr>
      <w:rFonts w:eastAsiaTheme="majorEastAsia" w:cstheme="majorBidi"/>
      <w:color w:val="272727" w:themeColor="text1" w:themeTint="D8"/>
    </w:rPr>
  </w:style>
  <w:style w:type="paragraph" w:styleId="Title">
    <w:name w:val="Title"/>
    <w:basedOn w:val="Normal"/>
    <w:next w:val="Normal"/>
    <w:link w:val="TitleChar"/>
    <w:uiPriority w:val="10"/>
    <w:qFormat/>
    <w:rsid w:val="00B12A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A5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A5D"/>
    <w:pPr>
      <w:spacing w:before="160"/>
      <w:jc w:val="center"/>
    </w:pPr>
    <w:rPr>
      <w:i/>
      <w:iCs/>
      <w:color w:val="404040" w:themeColor="text1" w:themeTint="BF"/>
    </w:rPr>
  </w:style>
  <w:style w:type="character" w:customStyle="1" w:styleId="QuoteChar">
    <w:name w:val="Quote Char"/>
    <w:basedOn w:val="DefaultParagraphFont"/>
    <w:link w:val="Quote"/>
    <w:uiPriority w:val="29"/>
    <w:rsid w:val="00B12A5D"/>
    <w:rPr>
      <w:i/>
      <w:iCs/>
      <w:color w:val="404040" w:themeColor="text1" w:themeTint="BF"/>
    </w:rPr>
  </w:style>
  <w:style w:type="paragraph" w:styleId="ListParagraph">
    <w:name w:val="List Paragraph"/>
    <w:basedOn w:val="Normal"/>
    <w:uiPriority w:val="34"/>
    <w:qFormat/>
    <w:rsid w:val="00B12A5D"/>
    <w:pPr>
      <w:ind w:left="720"/>
      <w:contextualSpacing/>
    </w:pPr>
  </w:style>
  <w:style w:type="character" w:styleId="IntenseEmphasis">
    <w:name w:val="Intense Emphasis"/>
    <w:basedOn w:val="DefaultParagraphFont"/>
    <w:uiPriority w:val="21"/>
    <w:qFormat/>
    <w:rsid w:val="00B12A5D"/>
    <w:rPr>
      <w:i/>
      <w:iCs/>
      <w:color w:val="2F5496" w:themeColor="accent1" w:themeShade="BF"/>
    </w:rPr>
  </w:style>
  <w:style w:type="paragraph" w:styleId="IntenseQuote">
    <w:name w:val="Intense Quote"/>
    <w:basedOn w:val="Normal"/>
    <w:next w:val="Normal"/>
    <w:link w:val="IntenseQuoteChar"/>
    <w:uiPriority w:val="30"/>
    <w:qFormat/>
    <w:rsid w:val="00B12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A5D"/>
    <w:rPr>
      <w:i/>
      <w:iCs/>
      <w:color w:val="2F5496" w:themeColor="accent1" w:themeShade="BF"/>
    </w:rPr>
  </w:style>
  <w:style w:type="character" w:styleId="IntenseReference">
    <w:name w:val="Intense Reference"/>
    <w:basedOn w:val="DefaultParagraphFont"/>
    <w:uiPriority w:val="32"/>
    <w:qFormat/>
    <w:rsid w:val="00B12A5D"/>
    <w:rPr>
      <w:b/>
      <w:bCs/>
      <w:smallCaps/>
      <w:color w:val="2F5496" w:themeColor="accent1" w:themeShade="BF"/>
      <w:spacing w:val="5"/>
    </w:rPr>
  </w:style>
  <w:style w:type="character" w:styleId="Hyperlink">
    <w:name w:val="Hyperlink"/>
    <w:basedOn w:val="DefaultParagraphFont"/>
    <w:uiPriority w:val="99"/>
    <w:unhideWhenUsed/>
    <w:rsid w:val="00B12A5D"/>
    <w:rPr>
      <w:color w:val="0000FF"/>
      <w:u w:val="single"/>
    </w:rPr>
  </w:style>
  <w:style w:type="character" w:styleId="UnresolvedMention">
    <w:name w:val="Unresolved Mention"/>
    <w:basedOn w:val="DefaultParagraphFont"/>
    <w:uiPriority w:val="99"/>
    <w:semiHidden/>
    <w:unhideWhenUsed/>
    <w:rsid w:val="00A276FB"/>
    <w:rPr>
      <w:color w:val="605E5C"/>
      <w:shd w:val="clear" w:color="auto" w:fill="E1DFDD"/>
    </w:rPr>
  </w:style>
  <w:style w:type="character" w:styleId="FollowedHyperlink">
    <w:name w:val="FollowedHyperlink"/>
    <w:basedOn w:val="DefaultParagraphFont"/>
    <w:uiPriority w:val="99"/>
    <w:semiHidden/>
    <w:unhideWhenUsed/>
    <w:rsid w:val="006867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file:///E:\FAITH%20ITEMS\Centralnjdh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quare.link/u/4ziZQOF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DeMaio</dc:creator>
  <cp:keywords/>
  <dc:description/>
  <cp:lastModifiedBy>alexis schone</cp:lastModifiedBy>
  <cp:revision>2</cp:revision>
  <dcterms:created xsi:type="dcterms:W3CDTF">2025-10-13T19:41:00Z</dcterms:created>
  <dcterms:modified xsi:type="dcterms:W3CDTF">2025-10-13T19:41:00Z</dcterms:modified>
</cp:coreProperties>
</file>