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39236E0D" w14:textId="77777777" w:rsidR="004D48C8" w:rsidRPr="00812E8D" w:rsidRDefault="004D48C8">
      <w:pPr>
        <w:pStyle w:val="p1"/>
        <w:rPr>
          <w:b/>
          <w:bCs/>
          <w:sz w:val="24"/>
          <w:szCs w:val="24"/>
          <w:u w:val="single"/>
        </w:rPr>
      </w:pPr>
      <w:r w:rsidRPr="00812E8D">
        <w:rPr>
          <w:rStyle w:val="s1"/>
          <w:b/>
          <w:bCs/>
          <w:sz w:val="24"/>
          <w:szCs w:val="24"/>
          <w:u w:val="single"/>
        </w:rPr>
        <w:t>Referral Guidelines for Orthodontics and Surgical Correction: Addressing Key Issues Across Mixed and Permanent Dentition</w:t>
      </w:r>
    </w:p>
    <w:p w14:paraId="1F41B035" w14:textId="77777777" w:rsidR="004D48C8" w:rsidRPr="00812E8D" w:rsidRDefault="004D48C8">
      <w:pPr>
        <w:pStyle w:val="p2"/>
        <w:rPr>
          <w:b/>
          <w:bCs/>
          <w:sz w:val="24"/>
          <w:szCs w:val="24"/>
          <w:u w:val="single"/>
        </w:rPr>
      </w:pPr>
    </w:p>
    <w:p w14:paraId="36119FAC" w14:textId="77777777" w:rsidR="004D48C8" w:rsidRPr="004D48C8" w:rsidRDefault="004D48C8">
      <w:pPr>
        <w:pStyle w:val="p1"/>
        <w:rPr>
          <w:sz w:val="24"/>
          <w:szCs w:val="24"/>
        </w:rPr>
      </w:pPr>
      <w:r w:rsidRPr="004D48C8">
        <w:rPr>
          <w:rStyle w:val="s2"/>
          <w:sz w:val="24"/>
          <w:szCs w:val="24"/>
        </w:rPr>
        <w:t>Course Description:</w:t>
      </w:r>
    </w:p>
    <w:p w14:paraId="0BA69966" w14:textId="2E2A9D06" w:rsidR="004D48C8" w:rsidRPr="004D48C8" w:rsidRDefault="004D48C8">
      <w:pPr>
        <w:pStyle w:val="p1"/>
        <w:rPr>
          <w:sz w:val="24"/>
          <w:szCs w:val="24"/>
        </w:rPr>
      </w:pPr>
      <w:r w:rsidRPr="004D48C8">
        <w:rPr>
          <w:rStyle w:val="s1"/>
          <w:sz w:val="24"/>
          <w:szCs w:val="24"/>
        </w:rPr>
        <w:t>This course provides comprehensive insights into the critical factors influencing when and why</w:t>
      </w:r>
      <w:r w:rsidR="009E1940">
        <w:rPr>
          <w:rStyle w:val="s1"/>
          <w:sz w:val="24"/>
          <w:szCs w:val="24"/>
        </w:rPr>
        <w:t xml:space="preserve"> </w:t>
      </w:r>
      <w:r w:rsidRPr="004D48C8">
        <w:rPr>
          <w:rStyle w:val="s1"/>
          <w:sz w:val="24"/>
          <w:szCs w:val="24"/>
        </w:rPr>
        <w:t xml:space="preserve">to treat and refer pediatric and adult patients for orthodontics. Focusing on both mixed </w:t>
      </w:r>
      <w:r w:rsidR="00B14EA5" w:rsidRPr="004D48C8">
        <w:rPr>
          <w:rStyle w:val="s1"/>
          <w:sz w:val="24"/>
          <w:szCs w:val="24"/>
        </w:rPr>
        <w:t>and permanent</w:t>
      </w:r>
      <w:r w:rsidRPr="004D48C8">
        <w:rPr>
          <w:rStyle w:val="s1"/>
          <w:sz w:val="24"/>
          <w:szCs w:val="24"/>
        </w:rPr>
        <w:t xml:space="preserve"> dentition stages, the course will help dental professionals recognize complex</w:t>
      </w:r>
      <w:r w:rsidR="00B14EA5">
        <w:rPr>
          <w:sz w:val="24"/>
          <w:szCs w:val="24"/>
        </w:rPr>
        <w:t xml:space="preserve"> </w:t>
      </w:r>
      <w:r w:rsidRPr="004D48C8">
        <w:rPr>
          <w:rStyle w:val="s1"/>
          <w:sz w:val="24"/>
          <w:szCs w:val="24"/>
        </w:rPr>
        <w:t>orthodontic cases that require timely treatment. We will explore common clinical presentations</w:t>
      </w:r>
      <w:r w:rsidR="000F50F9">
        <w:rPr>
          <w:sz w:val="24"/>
          <w:szCs w:val="24"/>
        </w:rPr>
        <w:t xml:space="preserve"> </w:t>
      </w:r>
      <w:r w:rsidRPr="004D48C8">
        <w:rPr>
          <w:rStyle w:val="s1"/>
          <w:sz w:val="24"/>
          <w:szCs w:val="24"/>
        </w:rPr>
        <w:t>such as posterior and anterior crossbites, severe crowding, and psychosocial challenges, as</w:t>
      </w:r>
      <w:r w:rsidR="000F50F9">
        <w:rPr>
          <w:sz w:val="24"/>
          <w:szCs w:val="24"/>
        </w:rPr>
        <w:t xml:space="preserve"> </w:t>
      </w:r>
      <w:r w:rsidRPr="004D48C8">
        <w:rPr>
          <w:rStyle w:val="s1"/>
          <w:sz w:val="24"/>
          <w:szCs w:val="24"/>
        </w:rPr>
        <w:t>well as the need for referrals due to excessive wear, malocclusions, or pre-implant restorativ</w:t>
      </w:r>
      <w:r w:rsidR="000F50F9">
        <w:rPr>
          <w:rStyle w:val="s1"/>
          <w:sz w:val="24"/>
          <w:szCs w:val="24"/>
        </w:rPr>
        <w:t>e</w:t>
      </w:r>
      <w:r w:rsidR="000F50F9">
        <w:rPr>
          <w:sz w:val="24"/>
          <w:szCs w:val="24"/>
        </w:rPr>
        <w:t xml:space="preserve"> </w:t>
      </w:r>
      <w:r w:rsidRPr="004D48C8">
        <w:rPr>
          <w:rStyle w:val="s1"/>
          <w:sz w:val="24"/>
          <w:szCs w:val="24"/>
        </w:rPr>
        <w:t xml:space="preserve">needs in adult patients. Through case presentations, learners will develop the knowledge </w:t>
      </w:r>
      <w:r w:rsidR="000F50F9" w:rsidRPr="004D48C8">
        <w:rPr>
          <w:rStyle w:val="s1"/>
          <w:sz w:val="24"/>
          <w:szCs w:val="24"/>
        </w:rPr>
        <w:t>and skills</w:t>
      </w:r>
      <w:r w:rsidRPr="004D48C8">
        <w:rPr>
          <w:rStyle w:val="s1"/>
          <w:sz w:val="24"/>
          <w:szCs w:val="24"/>
        </w:rPr>
        <w:t xml:space="preserve"> to make informed decisions regarding treatment, ultimately improving patient outcomes</w:t>
      </w:r>
      <w:r w:rsidR="000F50F9">
        <w:rPr>
          <w:sz w:val="24"/>
          <w:szCs w:val="24"/>
        </w:rPr>
        <w:t xml:space="preserve"> </w:t>
      </w:r>
      <w:r w:rsidRPr="004D48C8">
        <w:rPr>
          <w:rStyle w:val="s1"/>
          <w:sz w:val="24"/>
          <w:szCs w:val="24"/>
        </w:rPr>
        <w:t>and overall dental care.</w:t>
      </w:r>
    </w:p>
    <w:p w14:paraId="11578F70" w14:textId="77777777" w:rsidR="004D48C8" w:rsidRPr="004D48C8" w:rsidRDefault="004D48C8">
      <w:pPr>
        <w:pStyle w:val="p1"/>
        <w:rPr>
          <w:sz w:val="24"/>
          <w:szCs w:val="24"/>
        </w:rPr>
      </w:pPr>
      <w:r w:rsidRPr="004D48C8">
        <w:rPr>
          <w:rStyle w:val="s2"/>
          <w:sz w:val="24"/>
          <w:szCs w:val="24"/>
        </w:rPr>
        <w:t>Course Objectives:</w:t>
      </w:r>
    </w:p>
    <w:p w14:paraId="672663B2" w14:textId="77777777" w:rsidR="004D48C8" w:rsidRPr="004D48C8" w:rsidRDefault="004D48C8">
      <w:pPr>
        <w:pStyle w:val="p1"/>
        <w:rPr>
          <w:sz w:val="24"/>
          <w:szCs w:val="24"/>
        </w:rPr>
      </w:pPr>
      <w:r w:rsidRPr="004D48C8">
        <w:rPr>
          <w:rStyle w:val="s1"/>
          <w:sz w:val="24"/>
          <w:szCs w:val="24"/>
        </w:rPr>
        <w:t>By the end of this course, participants will be able to:</w:t>
      </w:r>
    </w:p>
    <w:p w14:paraId="46CBA3B7" w14:textId="77777777" w:rsidR="004D48C8" w:rsidRPr="004D48C8" w:rsidRDefault="004D48C8">
      <w:pPr>
        <w:pStyle w:val="p1"/>
        <w:rPr>
          <w:sz w:val="24"/>
          <w:szCs w:val="24"/>
        </w:rPr>
      </w:pPr>
      <w:r w:rsidRPr="004D48C8">
        <w:rPr>
          <w:rStyle w:val="s1"/>
          <w:sz w:val="24"/>
          <w:szCs w:val="24"/>
        </w:rPr>
        <w:t xml:space="preserve">1. </w:t>
      </w:r>
      <w:r w:rsidRPr="004D48C8">
        <w:rPr>
          <w:rStyle w:val="s2"/>
          <w:sz w:val="24"/>
          <w:szCs w:val="24"/>
        </w:rPr>
        <w:t>Identify key indicators for treatment and referral in mixed dentition</w:t>
      </w:r>
      <w:r w:rsidRPr="004D48C8">
        <w:rPr>
          <w:rStyle w:val="s1"/>
          <w:sz w:val="24"/>
          <w:szCs w:val="24"/>
        </w:rPr>
        <w:t xml:space="preserve"> (age 7) such as:</w:t>
      </w:r>
    </w:p>
    <w:p w14:paraId="7FC84865" w14:textId="33D6C174" w:rsidR="004D48C8" w:rsidRPr="004D48C8" w:rsidRDefault="004D48C8">
      <w:pPr>
        <w:pStyle w:val="p1"/>
        <w:rPr>
          <w:sz w:val="24"/>
          <w:szCs w:val="24"/>
        </w:rPr>
      </w:pPr>
      <w:r w:rsidRPr="004D48C8">
        <w:rPr>
          <w:rStyle w:val="s1"/>
          <w:sz w:val="24"/>
          <w:szCs w:val="24"/>
        </w:rPr>
        <w:t>2. ○Posterior and anterior crossbites</w:t>
      </w:r>
    </w:p>
    <w:p w14:paraId="0901BA35" w14:textId="1B89EA23" w:rsidR="004D48C8" w:rsidRPr="004D48C8" w:rsidRDefault="004D48C8">
      <w:pPr>
        <w:pStyle w:val="p1"/>
        <w:rPr>
          <w:sz w:val="24"/>
          <w:szCs w:val="24"/>
        </w:rPr>
      </w:pPr>
      <w:r w:rsidRPr="004D48C8">
        <w:rPr>
          <w:rStyle w:val="s1"/>
          <w:sz w:val="24"/>
          <w:szCs w:val="24"/>
        </w:rPr>
        <w:t>○Severe crowding and its potential long-term effects</w:t>
      </w:r>
    </w:p>
    <w:p w14:paraId="1F06E89E" w14:textId="14E7FC96" w:rsidR="004D48C8" w:rsidRPr="004D48C8" w:rsidRDefault="004D48C8">
      <w:pPr>
        <w:pStyle w:val="p1"/>
        <w:rPr>
          <w:sz w:val="24"/>
          <w:szCs w:val="24"/>
        </w:rPr>
      </w:pPr>
      <w:r w:rsidRPr="004D48C8">
        <w:rPr>
          <w:rStyle w:val="s1"/>
          <w:sz w:val="24"/>
          <w:szCs w:val="24"/>
        </w:rPr>
        <w:t>○Psychosocial issues arising from dental malocclusions</w:t>
      </w:r>
    </w:p>
    <w:p w14:paraId="6FD45771" w14:textId="22D1BEFD" w:rsidR="004D48C8" w:rsidRPr="004D48C8" w:rsidRDefault="004D48C8">
      <w:pPr>
        <w:pStyle w:val="p1"/>
        <w:rPr>
          <w:sz w:val="24"/>
          <w:szCs w:val="24"/>
        </w:rPr>
      </w:pPr>
      <w:r w:rsidRPr="004D48C8">
        <w:rPr>
          <w:rStyle w:val="s1"/>
          <w:sz w:val="24"/>
          <w:szCs w:val="24"/>
        </w:rPr>
        <w:t>○Impact of oral habits and the presence of supernumerary or missing teeth</w:t>
      </w:r>
    </w:p>
    <w:p w14:paraId="402B8F20" w14:textId="77777777" w:rsidR="004D48C8" w:rsidRPr="004D48C8" w:rsidRDefault="004D48C8">
      <w:pPr>
        <w:pStyle w:val="p1"/>
        <w:rPr>
          <w:sz w:val="24"/>
          <w:szCs w:val="24"/>
        </w:rPr>
      </w:pPr>
      <w:r w:rsidRPr="004D48C8">
        <w:rPr>
          <w:rStyle w:val="s2"/>
          <w:sz w:val="24"/>
          <w:szCs w:val="24"/>
        </w:rPr>
        <w:t>Assess when treatment and referral is necessary in permanent dentition and adult</w:t>
      </w:r>
    </w:p>
    <w:p w14:paraId="621E88E1" w14:textId="77777777" w:rsidR="004D48C8" w:rsidRPr="004D48C8" w:rsidRDefault="004D48C8">
      <w:pPr>
        <w:pStyle w:val="p1"/>
        <w:rPr>
          <w:sz w:val="24"/>
          <w:szCs w:val="24"/>
        </w:rPr>
      </w:pPr>
      <w:r w:rsidRPr="004D48C8">
        <w:rPr>
          <w:rStyle w:val="s2"/>
          <w:sz w:val="24"/>
          <w:szCs w:val="24"/>
        </w:rPr>
        <w:t>cases</w:t>
      </w:r>
      <w:r w:rsidRPr="004D48C8">
        <w:rPr>
          <w:rStyle w:val="s1"/>
          <w:sz w:val="24"/>
          <w:szCs w:val="24"/>
        </w:rPr>
        <w:t>, including:</w:t>
      </w:r>
    </w:p>
    <w:p w14:paraId="70FD140C" w14:textId="6398C819" w:rsidR="004D48C8" w:rsidRPr="004D48C8" w:rsidRDefault="004D48C8">
      <w:pPr>
        <w:pStyle w:val="p1"/>
        <w:rPr>
          <w:sz w:val="24"/>
          <w:szCs w:val="24"/>
        </w:rPr>
      </w:pPr>
      <w:r w:rsidRPr="004D48C8">
        <w:rPr>
          <w:rStyle w:val="s1"/>
          <w:sz w:val="24"/>
          <w:szCs w:val="24"/>
        </w:rPr>
        <w:t>3. ○Addressing patient concerns and initiating pre-implant or restorative referrals</w:t>
      </w:r>
    </w:p>
    <w:p w14:paraId="1A57AC1A" w14:textId="77415F44" w:rsidR="004D48C8" w:rsidRPr="004D48C8" w:rsidRDefault="004D48C8">
      <w:pPr>
        <w:pStyle w:val="p1"/>
        <w:rPr>
          <w:sz w:val="24"/>
          <w:szCs w:val="24"/>
        </w:rPr>
      </w:pPr>
      <w:r w:rsidRPr="004D48C8">
        <w:rPr>
          <w:rStyle w:val="s1"/>
          <w:sz w:val="24"/>
          <w:szCs w:val="24"/>
        </w:rPr>
        <w:t>○Recognizing cases of excessive wear or severe malocclusions (Class II or III)</w:t>
      </w:r>
    </w:p>
    <w:p w14:paraId="25A77BBE" w14:textId="21F09B08" w:rsidR="004D48C8" w:rsidRPr="004D48C8" w:rsidRDefault="004D48C8">
      <w:pPr>
        <w:pStyle w:val="p1"/>
        <w:rPr>
          <w:sz w:val="24"/>
          <w:szCs w:val="24"/>
        </w:rPr>
      </w:pPr>
      <w:r w:rsidRPr="004D48C8">
        <w:rPr>
          <w:rStyle w:val="s1"/>
          <w:sz w:val="24"/>
          <w:szCs w:val="24"/>
        </w:rPr>
        <w:t>○Understanding the need for surgical correction and when to involve an</w:t>
      </w:r>
    </w:p>
    <w:p w14:paraId="2542E82A" w14:textId="77777777" w:rsidR="004D48C8" w:rsidRPr="004D48C8" w:rsidRDefault="004D48C8">
      <w:pPr>
        <w:pStyle w:val="p1"/>
        <w:rPr>
          <w:sz w:val="24"/>
          <w:szCs w:val="24"/>
        </w:rPr>
      </w:pPr>
      <w:r w:rsidRPr="004D48C8">
        <w:rPr>
          <w:rStyle w:val="s1"/>
          <w:sz w:val="24"/>
          <w:szCs w:val="24"/>
        </w:rPr>
        <w:t>orthodontist</w:t>
      </w:r>
    </w:p>
    <w:p w14:paraId="12D15952" w14:textId="77777777" w:rsidR="004D48C8" w:rsidRPr="004D48C8" w:rsidRDefault="004D48C8">
      <w:pPr>
        <w:pStyle w:val="p1"/>
        <w:rPr>
          <w:sz w:val="24"/>
          <w:szCs w:val="24"/>
        </w:rPr>
      </w:pPr>
      <w:r w:rsidRPr="004D48C8">
        <w:rPr>
          <w:rStyle w:val="s2"/>
          <w:sz w:val="24"/>
          <w:szCs w:val="24"/>
        </w:rPr>
        <w:t xml:space="preserve">Evaluate and apply appropriate timing </w:t>
      </w:r>
      <w:r w:rsidRPr="004D48C8">
        <w:rPr>
          <w:rStyle w:val="s1"/>
          <w:sz w:val="24"/>
          <w:szCs w:val="24"/>
        </w:rPr>
        <w:t>in both pediatric and adult cases based on clinical assessment</w:t>
      </w:r>
      <w:r w:rsidRPr="004D48C8">
        <w:rPr>
          <w:rStyle w:val="apple-converted-space"/>
          <w:rFonts w:ascii="UICTFontTextStyleBody" w:hAnsi="UICTFontTextStyleBody"/>
          <w:sz w:val="24"/>
          <w:szCs w:val="24"/>
        </w:rPr>
        <w:t> </w:t>
      </w:r>
    </w:p>
    <w:p w14:paraId="35C324B9" w14:textId="77777777" w:rsidR="004D48C8" w:rsidRPr="004D48C8" w:rsidRDefault="004D48C8"/>
    <w:sectPr w:rsidR="004D48C8" w:rsidRPr="004D48C8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Aptos">
    <w:panose1 w:val="020B0004020202020204"/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panose1 w:val="020B0004020202020204"/>
    <w:charset w:val="00"/>
    <w:family w:val="swiss"/>
    <w:pitch w:val="variable"/>
    <w:sig w:usb0="20000287" w:usb1="00000003" w:usb2="00000000" w:usb3="00000000" w:csb0="0000019F" w:csb1="00000000"/>
  </w:font>
  <w:font w:name=".AppleSystemUIFont">
    <w:altName w:val="Cambria"/>
    <w:panose1 w:val="020B0604020202020204"/>
    <w:charset w:val="00"/>
    <w:family w:val="roman"/>
    <w:pitch w:val="default"/>
  </w:font>
  <w:font w:name="UICTFontTextStyleBody">
    <w:altName w:val="Cambria"/>
    <w:panose1 w:val="020B0604020202020204"/>
    <w:charset w:val="00"/>
    <w:family w:val="roman"/>
    <w:pitch w:val="default"/>
  </w:font>
  <w:font w:name="UICTFontTextStyleEmphasizedBody">
    <w:altName w:val="Cambria"/>
    <w:panose1 w:val="020B0604020202020204"/>
    <w:charset w:val="00"/>
    <w:family w:val="roman"/>
    <w:pitch w:val="default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50"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D48C8"/>
    <w:rsid w:val="000F50F9"/>
    <w:rsid w:val="003727FA"/>
    <w:rsid w:val="00396CE0"/>
    <w:rsid w:val="004D198B"/>
    <w:rsid w:val="004D48C8"/>
    <w:rsid w:val="00812E8D"/>
    <w:rsid w:val="009E1940"/>
    <w:rsid w:val="00AD6487"/>
    <w:rsid w:val="00B14EA5"/>
    <w:rsid w:val="00ED5F0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0E9466B7"/>
  <w15:chartTrackingRefBased/>
  <w15:docId w15:val="{D5BB7BD7-642D-A044-A1DB-2305E438C13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kern w:val="2"/>
        <w:sz w:val="24"/>
        <w:szCs w:val="24"/>
        <w:lang w:val="en-US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4D48C8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4D48C8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4D48C8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4D48C8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4D48C8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4D48C8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4D48C8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4D48C8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4D48C8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4D48C8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4D48C8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4D48C8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4D48C8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4D48C8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4D48C8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4D48C8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4D48C8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4D48C8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4D48C8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4D48C8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4D48C8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4D48C8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4D48C8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4D48C8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4D48C8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4D48C8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4D48C8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4D48C8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4D48C8"/>
    <w:rPr>
      <w:b/>
      <w:bCs/>
      <w:smallCaps/>
      <w:color w:val="0F4761" w:themeColor="accent1" w:themeShade="BF"/>
      <w:spacing w:val="5"/>
    </w:rPr>
  </w:style>
  <w:style w:type="paragraph" w:customStyle="1" w:styleId="p1">
    <w:name w:val="p1"/>
    <w:basedOn w:val="Normal"/>
    <w:rsid w:val="004D48C8"/>
    <w:pPr>
      <w:spacing w:after="0" w:line="240" w:lineRule="auto"/>
    </w:pPr>
    <w:rPr>
      <w:rFonts w:ascii=".AppleSystemUIFont" w:hAnsi=".AppleSystemUIFont" w:cs="Times New Roman"/>
      <w:kern w:val="0"/>
      <w:sz w:val="30"/>
      <w:szCs w:val="30"/>
      <w14:ligatures w14:val="none"/>
    </w:rPr>
  </w:style>
  <w:style w:type="paragraph" w:customStyle="1" w:styleId="p2">
    <w:name w:val="p2"/>
    <w:basedOn w:val="Normal"/>
    <w:rsid w:val="004D48C8"/>
    <w:pPr>
      <w:spacing w:after="0" w:line="240" w:lineRule="auto"/>
    </w:pPr>
    <w:rPr>
      <w:rFonts w:ascii=".AppleSystemUIFont" w:hAnsi=".AppleSystemUIFont" w:cs="Times New Roman"/>
      <w:kern w:val="0"/>
      <w:sz w:val="30"/>
      <w:szCs w:val="30"/>
      <w14:ligatures w14:val="none"/>
    </w:rPr>
  </w:style>
  <w:style w:type="character" w:customStyle="1" w:styleId="s1">
    <w:name w:val="s1"/>
    <w:basedOn w:val="DefaultParagraphFont"/>
    <w:rsid w:val="004D48C8"/>
    <w:rPr>
      <w:rFonts w:ascii="UICTFontTextStyleBody" w:hAnsi="UICTFontTextStyleBody" w:hint="default"/>
      <w:b w:val="0"/>
      <w:bCs w:val="0"/>
      <w:i w:val="0"/>
      <w:iCs w:val="0"/>
      <w:sz w:val="30"/>
      <w:szCs w:val="30"/>
    </w:rPr>
  </w:style>
  <w:style w:type="character" w:customStyle="1" w:styleId="s2">
    <w:name w:val="s2"/>
    <w:basedOn w:val="DefaultParagraphFont"/>
    <w:rsid w:val="004D48C8"/>
    <w:rPr>
      <w:rFonts w:ascii="UICTFontTextStyleEmphasizedBody" w:hAnsi="UICTFontTextStyleEmphasizedBody" w:hint="default"/>
      <w:b/>
      <w:bCs/>
      <w:i w:val="0"/>
      <w:iCs w:val="0"/>
      <w:sz w:val="30"/>
      <w:szCs w:val="30"/>
    </w:rPr>
  </w:style>
  <w:style w:type="character" w:customStyle="1" w:styleId="apple-converted-space">
    <w:name w:val="apple-converted-space"/>
    <w:basedOn w:val="DefaultParagraphFont"/>
    <w:rsid w:val="004D48C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260</Words>
  <Characters>1487</Characters>
  <Application>Microsoft Office Word</Application>
  <DocSecurity>0</DocSecurity>
  <Lines>12</Lines>
  <Paragraphs>3</Paragraphs>
  <ScaleCrop>false</ScaleCrop>
  <Company/>
  <LinksUpToDate>false</LinksUpToDate>
  <CharactersWithSpaces>1744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jacqueline self</dc:creator>
  <cp:keywords/>
  <dc:description/>
  <cp:lastModifiedBy>alexis schone</cp:lastModifiedBy>
  <cp:revision>2</cp:revision>
  <dcterms:created xsi:type="dcterms:W3CDTF">2025-04-01T15:06:00Z</dcterms:created>
  <dcterms:modified xsi:type="dcterms:W3CDTF">2025-04-01T15:06:00Z</dcterms:modified>
</cp:coreProperties>
</file>