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17FD" w14:textId="7B247161" w:rsidR="002069DB" w:rsidRDefault="003813AF" w:rsidP="002069D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Boulder County Hazardous Materials Team</w:t>
      </w:r>
    </w:p>
    <w:p w14:paraId="401EA2CE" w14:textId="1ECC3F1D" w:rsidR="003813AF" w:rsidRPr="003813AF" w:rsidRDefault="003813AF" w:rsidP="002069D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Hydrofluoric Acid Exposure</w:t>
      </w:r>
    </w:p>
    <w:p w14:paraId="60D43D9E" w14:textId="77777777" w:rsidR="002069DB" w:rsidRPr="003813AF" w:rsidRDefault="002069DB" w:rsidP="002069D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3"/>
        <w:gridCol w:w="4317"/>
      </w:tblGrid>
      <w:tr w:rsidR="002069DB" w:rsidRPr="003813AF" w14:paraId="1968E8E5" w14:textId="77777777" w:rsidTr="00F86564">
        <w:tc>
          <w:tcPr>
            <w:tcW w:w="4313" w:type="dxa"/>
          </w:tcPr>
          <w:p w14:paraId="494CC824" w14:textId="4C0B4ACD" w:rsidR="002069DB" w:rsidRPr="003813AF" w:rsidRDefault="003813AF" w:rsidP="0038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Guideline Number</w:t>
            </w:r>
          </w:p>
        </w:tc>
        <w:tc>
          <w:tcPr>
            <w:tcW w:w="4317" w:type="dxa"/>
          </w:tcPr>
          <w:p w14:paraId="21A6DC94" w14:textId="1B2DB4E8" w:rsidR="002069DB" w:rsidRPr="003813AF" w:rsidRDefault="00AC224A" w:rsidP="0038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4003</w:t>
            </w:r>
          </w:p>
        </w:tc>
      </w:tr>
      <w:tr w:rsidR="002069DB" w:rsidRPr="003813AF" w14:paraId="08AB48A3" w14:textId="77777777" w:rsidTr="00F86564">
        <w:tc>
          <w:tcPr>
            <w:tcW w:w="4313" w:type="dxa"/>
          </w:tcPr>
          <w:p w14:paraId="68BB4579" w14:textId="69ACDCD5" w:rsidR="002069DB" w:rsidRPr="003813AF" w:rsidRDefault="003813AF" w:rsidP="0038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Approved By</w:t>
            </w:r>
          </w:p>
        </w:tc>
        <w:tc>
          <w:tcPr>
            <w:tcW w:w="4317" w:type="dxa"/>
          </w:tcPr>
          <w:p w14:paraId="73651A35" w14:textId="2D55C345" w:rsidR="002069DB" w:rsidRPr="003813AF" w:rsidRDefault="003813AF" w:rsidP="0038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Advisory Committee</w:t>
            </w:r>
          </w:p>
        </w:tc>
      </w:tr>
      <w:tr w:rsidR="003813AF" w:rsidRPr="003813AF" w14:paraId="140F4072" w14:textId="77777777" w:rsidTr="00F86564">
        <w:tc>
          <w:tcPr>
            <w:tcW w:w="4313" w:type="dxa"/>
          </w:tcPr>
          <w:p w14:paraId="00112809" w14:textId="444240C9" w:rsidR="003813AF" w:rsidRDefault="003813AF" w:rsidP="0038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317" w:type="dxa"/>
          </w:tcPr>
          <w:p w14:paraId="2D398E27" w14:textId="7C504112" w:rsidR="003813AF" w:rsidRDefault="003813AF" w:rsidP="0038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4/13/22</w:t>
            </w:r>
            <w:r w:rsidR="00F86564">
              <w:rPr>
                <w:rFonts w:asciiTheme="majorHAnsi" w:hAnsiTheme="majorHAnsi" w:cstheme="majorHAnsi"/>
              </w:rPr>
              <w:t>; 7</w:t>
            </w:r>
            <w:r w:rsidR="005400A1">
              <w:rPr>
                <w:rFonts w:asciiTheme="majorHAnsi" w:hAnsiTheme="majorHAnsi" w:cstheme="majorHAnsi"/>
              </w:rPr>
              <w:t>-15-2022</w:t>
            </w:r>
          </w:p>
        </w:tc>
      </w:tr>
    </w:tbl>
    <w:p w14:paraId="2E0E3F8D" w14:textId="77777777" w:rsidR="002069DB" w:rsidRPr="003813AF" w:rsidRDefault="002069DB" w:rsidP="00F86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3A8CFBF" w14:textId="77777777" w:rsidR="002069DB" w:rsidRPr="003813AF" w:rsidRDefault="002069DB" w:rsidP="00E74A4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75B9217" w14:textId="61751E54" w:rsidR="003813AF" w:rsidRDefault="003813AF" w:rsidP="003813AF">
      <w:p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  <w:b/>
        </w:rPr>
        <w:t>Scope</w:t>
      </w:r>
      <w:r>
        <w:rPr>
          <w:rFonts w:asciiTheme="majorHAnsi" w:hAnsiTheme="majorHAnsi" w:cstheme="majorHAnsi"/>
          <w:b/>
        </w:rPr>
        <w:t xml:space="preserve">: </w:t>
      </w:r>
      <w:r w:rsidRPr="003813AF">
        <w:rPr>
          <w:rFonts w:asciiTheme="majorHAnsi" w:hAnsiTheme="majorHAnsi" w:cstheme="majorHAnsi"/>
        </w:rPr>
        <w:t xml:space="preserve">This information applies to all </w:t>
      </w:r>
      <w:r>
        <w:rPr>
          <w:rFonts w:asciiTheme="majorHAnsi" w:hAnsiTheme="majorHAnsi" w:cstheme="majorHAnsi"/>
        </w:rPr>
        <w:t>Boulder County Hazardous Materials Team</w:t>
      </w:r>
      <w:r w:rsidRPr="003813AF">
        <w:rPr>
          <w:rFonts w:asciiTheme="majorHAnsi" w:hAnsiTheme="majorHAnsi" w:cstheme="majorHAnsi"/>
        </w:rPr>
        <w:t xml:space="preserve"> personnel trained as HAZMAT </w:t>
      </w:r>
      <w:proofErr w:type="spellStart"/>
      <w:r>
        <w:rPr>
          <w:rFonts w:asciiTheme="majorHAnsi" w:hAnsiTheme="majorHAnsi" w:cstheme="majorHAnsi"/>
        </w:rPr>
        <w:t>Tox-</w:t>
      </w:r>
      <w:r w:rsidRPr="003813AF">
        <w:rPr>
          <w:rFonts w:asciiTheme="majorHAnsi" w:hAnsiTheme="majorHAnsi" w:cstheme="majorHAnsi"/>
        </w:rPr>
        <w:t>Medics</w:t>
      </w:r>
      <w:proofErr w:type="spellEnd"/>
      <w:r w:rsidRPr="003813AF">
        <w:rPr>
          <w:rFonts w:asciiTheme="majorHAnsi" w:hAnsiTheme="majorHAnsi" w:cstheme="majorHAnsi"/>
        </w:rPr>
        <w:t>.</w:t>
      </w:r>
    </w:p>
    <w:p w14:paraId="651960B1" w14:textId="77777777" w:rsidR="003813AF" w:rsidRPr="003813AF" w:rsidRDefault="003813AF" w:rsidP="003813AF">
      <w:pPr>
        <w:jc w:val="both"/>
        <w:rPr>
          <w:rFonts w:asciiTheme="majorHAnsi" w:hAnsiTheme="majorHAnsi" w:cstheme="majorHAnsi"/>
          <w:b/>
        </w:rPr>
      </w:pPr>
    </w:p>
    <w:p w14:paraId="2F278259" w14:textId="6F5F58B5" w:rsidR="00F86CDA" w:rsidRPr="003813AF" w:rsidRDefault="00E74A49" w:rsidP="003813AF">
      <w:pPr>
        <w:jc w:val="both"/>
        <w:rPr>
          <w:rFonts w:asciiTheme="majorHAnsi" w:hAnsiTheme="majorHAnsi" w:cstheme="majorHAnsi"/>
          <w:b/>
        </w:rPr>
      </w:pPr>
      <w:r w:rsidRPr="003813AF">
        <w:rPr>
          <w:rFonts w:asciiTheme="majorHAnsi" w:hAnsiTheme="majorHAnsi" w:cstheme="majorHAnsi"/>
          <w:b/>
        </w:rPr>
        <w:t>Purpose</w:t>
      </w:r>
      <w:r w:rsidR="003813AF">
        <w:rPr>
          <w:rFonts w:asciiTheme="majorHAnsi" w:hAnsiTheme="majorHAnsi" w:cstheme="majorHAnsi"/>
          <w:b/>
        </w:rPr>
        <w:t xml:space="preserve">: </w:t>
      </w:r>
      <w:r w:rsidR="00F86CDA" w:rsidRPr="003813AF">
        <w:rPr>
          <w:rFonts w:asciiTheme="majorHAnsi" w:hAnsiTheme="majorHAnsi" w:cstheme="majorHAnsi"/>
        </w:rPr>
        <w:t xml:space="preserve">This Standard Operating </w:t>
      </w:r>
      <w:r w:rsidR="003813AF">
        <w:rPr>
          <w:rFonts w:asciiTheme="majorHAnsi" w:hAnsiTheme="majorHAnsi" w:cstheme="majorHAnsi"/>
        </w:rPr>
        <w:t xml:space="preserve">Procedure </w:t>
      </w:r>
      <w:r w:rsidR="00F86CDA" w:rsidRPr="003813AF">
        <w:rPr>
          <w:rFonts w:asciiTheme="majorHAnsi" w:hAnsiTheme="majorHAnsi" w:cstheme="majorHAnsi"/>
        </w:rPr>
        <w:t xml:space="preserve">provides guidance to </w:t>
      </w:r>
      <w:r w:rsidR="003813AF">
        <w:rPr>
          <w:rFonts w:asciiTheme="majorHAnsi" w:hAnsiTheme="majorHAnsi" w:cstheme="majorHAnsi"/>
        </w:rPr>
        <w:t xml:space="preserve">Boulder County Hazardous Materials Team </w:t>
      </w:r>
      <w:r w:rsidR="00F17654" w:rsidRPr="003813AF">
        <w:rPr>
          <w:rFonts w:asciiTheme="majorHAnsi" w:hAnsiTheme="majorHAnsi" w:cstheme="majorHAnsi"/>
        </w:rPr>
        <w:t xml:space="preserve">HAZMAT </w:t>
      </w:r>
      <w:proofErr w:type="spellStart"/>
      <w:r w:rsidR="003813AF">
        <w:rPr>
          <w:rFonts w:asciiTheme="majorHAnsi" w:hAnsiTheme="majorHAnsi" w:cstheme="majorHAnsi"/>
        </w:rPr>
        <w:t>Tox-</w:t>
      </w:r>
      <w:r w:rsidR="00F17654" w:rsidRPr="003813AF">
        <w:rPr>
          <w:rFonts w:asciiTheme="majorHAnsi" w:hAnsiTheme="majorHAnsi" w:cstheme="majorHAnsi"/>
        </w:rPr>
        <w:t>Medic</w:t>
      </w:r>
      <w:proofErr w:type="spellEnd"/>
      <w:r w:rsidR="00F86CDA" w:rsidRPr="003813AF">
        <w:rPr>
          <w:rFonts w:asciiTheme="majorHAnsi" w:hAnsiTheme="majorHAnsi" w:cstheme="majorHAnsi"/>
        </w:rPr>
        <w:t xml:space="preserve"> personnel on how to manage incidents </w:t>
      </w:r>
      <w:r w:rsidR="00CC7ADD" w:rsidRPr="003813AF">
        <w:rPr>
          <w:rFonts w:asciiTheme="majorHAnsi" w:hAnsiTheme="majorHAnsi" w:cstheme="majorHAnsi"/>
        </w:rPr>
        <w:t>where hydrofluoric acid (HF) exposure is suspected.</w:t>
      </w:r>
    </w:p>
    <w:p w14:paraId="57391B0E" w14:textId="47A7D6D0" w:rsidR="00E74A49" w:rsidRPr="003813AF" w:rsidRDefault="00E74A49" w:rsidP="00E74A49">
      <w:pPr>
        <w:jc w:val="both"/>
        <w:rPr>
          <w:rFonts w:asciiTheme="majorHAnsi" w:hAnsiTheme="majorHAnsi" w:cstheme="majorHAnsi"/>
        </w:rPr>
      </w:pPr>
    </w:p>
    <w:p w14:paraId="53059363" w14:textId="2930D7CF" w:rsidR="00E74A49" w:rsidRPr="003813AF" w:rsidRDefault="003813AF" w:rsidP="00E74A49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Guideline:</w:t>
      </w:r>
    </w:p>
    <w:p w14:paraId="6B72322D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16FBCB55" w14:textId="77777777" w:rsidR="00FA1AE4" w:rsidRPr="003813AF" w:rsidRDefault="00FA1AE4" w:rsidP="003813AF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Cs/>
        </w:rPr>
      </w:pPr>
      <w:r w:rsidRPr="003813AF">
        <w:rPr>
          <w:rFonts w:asciiTheme="majorHAnsi" w:hAnsiTheme="majorHAnsi" w:cstheme="majorHAnsi"/>
          <w:bCs/>
        </w:rPr>
        <w:t>Primary survey and resuscitation:</w:t>
      </w:r>
    </w:p>
    <w:p w14:paraId="54B42D68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1F3ECB18" w14:textId="4CB18701" w:rsidR="00FA1AE4" w:rsidRPr="003813AF" w:rsidRDefault="00FA1AE4" w:rsidP="003813AF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  <w:bCs/>
        </w:rPr>
        <w:t>Airway-</w:t>
      </w:r>
      <w:r w:rsidRPr="003813AF">
        <w:rPr>
          <w:rFonts w:asciiTheme="majorHAnsi" w:hAnsiTheme="majorHAnsi" w:cstheme="majorHAnsi"/>
        </w:rPr>
        <w:t xml:space="preserve"> Ensure open airway as the irritant action of hydrofluoric acid can restrict the upper airway</w:t>
      </w:r>
    </w:p>
    <w:p w14:paraId="4702292A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38F21B1B" w14:textId="678AE332" w:rsidR="00FA1AE4" w:rsidRPr="003813AF" w:rsidRDefault="00FA1AE4" w:rsidP="003813AF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  <w:bCs/>
        </w:rPr>
        <w:t>Breathing-</w:t>
      </w:r>
      <w:r w:rsidRPr="003813AF">
        <w:rPr>
          <w:rFonts w:asciiTheme="majorHAnsi" w:hAnsiTheme="majorHAnsi" w:cstheme="majorHAnsi"/>
        </w:rPr>
        <w:t xml:space="preserve"> Ventilate with 100% FiO2, may administer albuterol for wheezing per protocol</w:t>
      </w:r>
    </w:p>
    <w:p w14:paraId="3B06B566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0B69D4B0" w14:textId="2DBF3DDB" w:rsidR="00FA1AE4" w:rsidRPr="003813AF" w:rsidRDefault="00FA1AE4" w:rsidP="003813AF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  <w:bCs/>
        </w:rPr>
        <w:t>Circulation</w:t>
      </w:r>
      <w:r w:rsidRPr="003813AF">
        <w:rPr>
          <w:rFonts w:asciiTheme="majorHAnsi" w:hAnsiTheme="majorHAnsi" w:cstheme="majorHAnsi"/>
        </w:rPr>
        <w:t>- Place on monitor and watch for dysrhythmias from hypocalcemia</w:t>
      </w:r>
    </w:p>
    <w:p w14:paraId="7611141D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083D94E0" w14:textId="77777777" w:rsidR="00FA1AE4" w:rsidRPr="003813AF" w:rsidRDefault="00FA1AE4" w:rsidP="003813AF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  <w:bCs/>
        </w:rPr>
        <w:t>Disability-</w:t>
      </w:r>
      <w:r w:rsidRPr="003813AF">
        <w:rPr>
          <w:rFonts w:asciiTheme="majorHAnsi" w:hAnsiTheme="majorHAnsi" w:cstheme="majorHAnsi"/>
        </w:rPr>
        <w:t xml:space="preserve"> Prepare for seizure activity, treat with a benzodiazepine if necessary</w:t>
      </w:r>
    </w:p>
    <w:p w14:paraId="3D84FE10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3213777E" w14:textId="0BB6D051" w:rsidR="00FA1AE4" w:rsidRPr="003813AF" w:rsidRDefault="00FA1AE4" w:rsidP="003813AF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  <w:bCs/>
        </w:rPr>
        <w:t>Exposure-</w:t>
      </w:r>
      <w:r w:rsidRPr="003813AF">
        <w:rPr>
          <w:rFonts w:asciiTheme="majorHAnsi" w:hAnsiTheme="majorHAnsi" w:cstheme="majorHAnsi"/>
        </w:rPr>
        <w:t xml:space="preserve"> </w:t>
      </w:r>
      <w:r w:rsidR="008D6CE4" w:rsidRPr="003813AF">
        <w:rPr>
          <w:rFonts w:asciiTheme="majorHAnsi" w:hAnsiTheme="majorHAnsi" w:cstheme="majorHAnsi"/>
        </w:rPr>
        <w:t>Removed clothes and decontaminate with copious water</w:t>
      </w:r>
      <w:r w:rsidR="00CC7ADD" w:rsidRPr="003813AF">
        <w:rPr>
          <w:rFonts w:asciiTheme="majorHAnsi" w:hAnsiTheme="majorHAnsi" w:cstheme="majorHAnsi"/>
        </w:rPr>
        <w:t>.  C</w:t>
      </w:r>
      <w:r w:rsidRPr="003813AF">
        <w:rPr>
          <w:rFonts w:asciiTheme="majorHAnsi" w:hAnsiTheme="majorHAnsi" w:cstheme="majorHAnsi"/>
        </w:rPr>
        <w:t>hemical burn blisters should be broken as opposed to thermal burn blisters</w:t>
      </w:r>
      <w:r w:rsidR="008D6CE4" w:rsidRPr="003813AF">
        <w:rPr>
          <w:rFonts w:asciiTheme="majorHAnsi" w:hAnsiTheme="majorHAnsi" w:cstheme="majorHAnsi"/>
        </w:rPr>
        <w:t>.  Topical calcium gluconate liquid or gel can be applied to skin after decontamination with water</w:t>
      </w:r>
    </w:p>
    <w:p w14:paraId="2FDBE1C9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21719AA9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403CABAC" w14:textId="77777777" w:rsidR="00E1554E" w:rsidRPr="003813AF" w:rsidRDefault="00E1554E" w:rsidP="00FA1AE4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02CE2450" w14:textId="77777777" w:rsidR="00E1554E" w:rsidRPr="003813AF" w:rsidRDefault="00E1554E" w:rsidP="00FA1AE4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5B23D0C6" w14:textId="77777777" w:rsidR="00E1554E" w:rsidRPr="003813AF" w:rsidRDefault="00E1554E" w:rsidP="00FA1AE4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7CC62D2B" w14:textId="77777777" w:rsidR="00E1554E" w:rsidRPr="003813AF" w:rsidRDefault="00E1554E" w:rsidP="00FA1AE4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2F13E41F" w14:textId="77777777" w:rsidR="00E1554E" w:rsidRPr="003813AF" w:rsidRDefault="00E1554E" w:rsidP="00FA1AE4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47EDA402" w14:textId="77777777" w:rsidR="00E1554E" w:rsidRPr="003813AF" w:rsidRDefault="00E1554E" w:rsidP="00FA1AE4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2CE05FB3" w14:textId="77777777" w:rsidR="00E1554E" w:rsidRPr="003813AF" w:rsidRDefault="00E1554E" w:rsidP="00FA1AE4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1E47198B" w14:textId="5B888A57" w:rsidR="00FA1AE4" w:rsidRPr="003813AF" w:rsidRDefault="003813AF" w:rsidP="003813AF">
      <w:pPr>
        <w:jc w:val="both"/>
        <w:rPr>
          <w:rFonts w:asciiTheme="majorHAnsi" w:hAnsiTheme="majorHAnsi" w:cstheme="majorHAnsi"/>
          <w:b/>
          <w:bCs/>
        </w:rPr>
      </w:pPr>
      <w:r w:rsidRPr="003813AF">
        <w:rPr>
          <w:rFonts w:asciiTheme="majorHAnsi" w:hAnsiTheme="majorHAnsi" w:cstheme="majorHAnsi"/>
          <w:b/>
          <w:bCs/>
        </w:rPr>
        <w:lastRenderedPageBreak/>
        <w:t>Procedure:</w:t>
      </w:r>
    </w:p>
    <w:p w14:paraId="28AB9C4D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3F2C77C4" w14:textId="260BE266" w:rsidR="00FA1AE4" w:rsidRPr="003813AF" w:rsidRDefault="00FA1AE4" w:rsidP="003813AF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  <w:bCs/>
        </w:rPr>
        <w:t>Administer antidote</w:t>
      </w:r>
      <w:r w:rsidR="003813AF" w:rsidRPr="003813AF">
        <w:rPr>
          <w:rFonts w:asciiTheme="majorHAnsi" w:hAnsiTheme="majorHAnsi" w:cstheme="majorHAnsi"/>
          <w:bCs/>
        </w:rPr>
        <w:t>:</w:t>
      </w:r>
    </w:p>
    <w:p w14:paraId="76906443" w14:textId="1C634585" w:rsidR="00E1554E" w:rsidRPr="003813AF" w:rsidRDefault="00E1554E" w:rsidP="008D6CE4">
      <w:pPr>
        <w:jc w:val="both"/>
        <w:rPr>
          <w:rFonts w:asciiTheme="majorHAnsi" w:hAnsiTheme="majorHAnsi" w:cstheme="majorHAnsi"/>
        </w:rPr>
      </w:pPr>
    </w:p>
    <w:p w14:paraId="54DCF0E3" w14:textId="51072CC4" w:rsidR="00E1554E" w:rsidRPr="003813AF" w:rsidRDefault="00E1554E" w:rsidP="003813AF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</w:rPr>
        <w:t>Calcium Gluconate:</w:t>
      </w:r>
      <w:r w:rsidR="003813AF">
        <w:rPr>
          <w:rFonts w:asciiTheme="majorHAnsi" w:hAnsiTheme="majorHAnsi" w:cstheme="majorHAnsi"/>
        </w:rPr>
        <w:t xml:space="preserve"> </w:t>
      </w:r>
      <w:r w:rsidRPr="003813AF">
        <w:rPr>
          <w:rFonts w:asciiTheme="majorHAnsi" w:hAnsiTheme="majorHAnsi" w:cstheme="majorHAnsi"/>
        </w:rPr>
        <w:t>Topica</w:t>
      </w:r>
      <w:r w:rsidR="00D12990" w:rsidRPr="003813AF">
        <w:rPr>
          <w:rFonts w:asciiTheme="majorHAnsi" w:hAnsiTheme="majorHAnsi" w:cstheme="majorHAnsi"/>
        </w:rPr>
        <w:t>l (for localized symptoms)</w:t>
      </w:r>
      <w:r w:rsidRPr="003813AF">
        <w:rPr>
          <w:rFonts w:asciiTheme="majorHAnsi" w:hAnsiTheme="majorHAnsi" w:cstheme="majorHAnsi"/>
        </w:rPr>
        <w:t>: 2.5% commercial gel or 10% liquid can be placed in a glove for finger/hand exposures.  Topical gel can be placed over exposed areas elsewhere.</w:t>
      </w:r>
    </w:p>
    <w:p w14:paraId="55808682" w14:textId="3EB51F3D" w:rsidR="00E1554E" w:rsidRPr="003813AF" w:rsidRDefault="00E1554E" w:rsidP="008D6CE4">
      <w:pPr>
        <w:jc w:val="both"/>
        <w:rPr>
          <w:rFonts w:asciiTheme="majorHAnsi" w:hAnsiTheme="majorHAnsi" w:cstheme="majorHAnsi"/>
        </w:rPr>
      </w:pPr>
    </w:p>
    <w:p w14:paraId="457C4439" w14:textId="183CD150" w:rsidR="00E1554E" w:rsidRPr="003813AF" w:rsidRDefault="00E1554E" w:rsidP="003813AF">
      <w:pPr>
        <w:pStyle w:val="ListParagraph"/>
        <w:numPr>
          <w:ilvl w:val="2"/>
          <w:numId w:val="3"/>
        </w:numPr>
        <w:jc w:val="both"/>
        <w:rPr>
          <w:rFonts w:asciiTheme="majorHAnsi" w:hAnsiTheme="majorHAnsi" w:cstheme="majorHAnsi"/>
        </w:rPr>
      </w:pPr>
      <w:commentRangeStart w:id="0"/>
      <w:r w:rsidRPr="003813AF">
        <w:rPr>
          <w:rFonts w:asciiTheme="majorHAnsi" w:hAnsiTheme="majorHAnsi" w:cstheme="majorHAnsi"/>
        </w:rPr>
        <w:t>IV/IO</w:t>
      </w:r>
      <w:r w:rsidR="00D12990" w:rsidRPr="003813AF">
        <w:rPr>
          <w:rFonts w:asciiTheme="majorHAnsi" w:hAnsiTheme="majorHAnsi" w:cstheme="majorHAnsi"/>
        </w:rPr>
        <w:t xml:space="preserve"> (for systemic symptoms)</w:t>
      </w:r>
      <w:r w:rsidRPr="003813AF">
        <w:rPr>
          <w:rFonts w:asciiTheme="majorHAnsi" w:hAnsiTheme="majorHAnsi" w:cstheme="majorHAnsi"/>
        </w:rPr>
        <w:t xml:space="preserve">: </w:t>
      </w:r>
    </w:p>
    <w:p w14:paraId="7CE34DB3" w14:textId="3728C796" w:rsidR="00E1554E" w:rsidRPr="003813AF" w:rsidRDefault="00E1554E" w:rsidP="008D6CE4">
      <w:pPr>
        <w:jc w:val="both"/>
        <w:rPr>
          <w:rFonts w:asciiTheme="majorHAnsi" w:hAnsiTheme="majorHAnsi" w:cstheme="majorHAnsi"/>
        </w:rPr>
      </w:pPr>
    </w:p>
    <w:p w14:paraId="327D8D33" w14:textId="01F4AE4F" w:rsidR="00E1554E" w:rsidRPr="003813AF" w:rsidRDefault="00E1554E" w:rsidP="003813AF">
      <w:pPr>
        <w:pStyle w:val="ListParagraph"/>
        <w:numPr>
          <w:ilvl w:val="2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</w:rPr>
        <w:t xml:space="preserve">Adult:  </w:t>
      </w:r>
      <w:r w:rsidR="00B92B16" w:rsidRPr="003813AF">
        <w:rPr>
          <w:rFonts w:asciiTheme="majorHAnsi" w:hAnsiTheme="majorHAnsi" w:cstheme="majorHAnsi"/>
        </w:rPr>
        <w:t>30ml of 10% Calcium Gluconate slow push</w:t>
      </w:r>
    </w:p>
    <w:p w14:paraId="73D7067F" w14:textId="5FC4CC40" w:rsidR="00B92B16" w:rsidRPr="003813AF" w:rsidRDefault="00B92B16" w:rsidP="008D6CE4">
      <w:pPr>
        <w:jc w:val="both"/>
        <w:rPr>
          <w:rFonts w:asciiTheme="majorHAnsi" w:hAnsiTheme="majorHAnsi" w:cstheme="majorHAnsi"/>
        </w:rPr>
      </w:pPr>
    </w:p>
    <w:p w14:paraId="1BDCA2E5" w14:textId="35F1828D" w:rsidR="00B92B16" w:rsidRPr="003813AF" w:rsidRDefault="00B92B16" w:rsidP="003813AF">
      <w:pPr>
        <w:pStyle w:val="ListParagraph"/>
        <w:numPr>
          <w:ilvl w:val="2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</w:rPr>
        <w:t>Pediatric:  0.6ml/kg of 10% Calcium Gluconate up to 30 ml slow push</w:t>
      </w:r>
    </w:p>
    <w:p w14:paraId="28B19A64" w14:textId="407CC83E" w:rsidR="00B92B16" w:rsidRPr="003813AF" w:rsidRDefault="00B92B16" w:rsidP="008D6CE4">
      <w:pPr>
        <w:jc w:val="both"/>
        <w:rPr>
          <w:rFonts w:asciiTheme="majorHAnsi" w:hAnsiTheme="majorHAnsi" w:cstheme="majorHAnsi"/>
        </w:rPr>
      </w:pPr>
    </w:p>
    <w:p w14:paraId="7E64C00E" w14:textId="4B301A81" w:rsidR="00B92B16" w:rsidRPr="003813AF" w:rsidRDefault="00B92B16" w:rsidP="003813AF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</w:rPr>
        <w:t>Calcium Chloride IV (</w:t>
      </w:r>
      <w:r w:rsidR="00D12990" w:rsidRPr="003813AF">
        <w:rPr>
          <w:rFonts w:asciiTheme="majorHAnsi" w:hAnsiTheme="majorHAnsi" w:cstheme="majorHAnsi"/>
        </w:rPr>
        <w:t>for systemic symptom. D</w:t>
      </w:r>
      <w:r w:rsidRPr="003813AF">
        <w:rPr>
          <w:rFonts w:asciiTheme="majorHAnsi" w:hAnsiTheme="majorHAnsi" w:cstheme="majorHAnsi"/>
        </w:rPr>
        <w:t>o not give IO</w:t>
      </w:r>
      <w:r w:rsidR="00D12990" w:rsidRPr="003813AF">
        <w:rPr>
          <w:rFonts w:asciiTheme="majorHAnsi" w:hAnsiTheme="majorHAnsi" w:cstheme="majorHAnsi"/>
        </w:rPr>
        <w:t>.</w:t>
      </w:r>
      <w:r w:rsidRPr="003813AF">
        <w:rPr>
          <w:rFonts w:asciiTheme="majorHAnsi" w:hAnsiTheme="majorHAnsi" w:cstheme="majorHAnsi"/>
        </w:rPr>
        <w:t xml:space="preserve"> </w:t>
      </w:r>
      <w:r w:rsidR="00D12990" w:rsidRPr="003813AF">
        <w:rPr>
          <w:rFonts w:asciiTheme="majorHAnsi" w:hAnsiTheme="majorHAnsi" w:cstheme="majorHAnsi"/>
        </w:rPr>
        <w:t>I</w:t>
      </w:r>
      <w:r w:rsidRPr="003813AF">
        <w:rPr>
          <w:rFonts w:asciiTheme="majorHAnsi" w:hAnsiTheme="majorHAnsi" w:cstheme="majorHAnsi"/>
        </w:rPr>
        <w:t xml:space="preserve">nfiltration/extravasation of IV Calcium Chloride can cause severe tissue </w:t>
      </w:r>
      <w:r w:rsidR="00D12990" w:rsidRPr="003813AF">
        <w:rPr>
          <w:rFonts w:asciiTheme="majorHAnsi" w:hAnsiTheme="majorHAnsi" w:cstheme="majorHAnsi"/>
        </w:rPr>
        <w:t>necrosis</w:t>
      </w:r>
      <w:r w:rsidRPr="003813AF">
        <w:rPr>
          <w:rFonts w:asciiTheme="majorHAnsi" w:hAnsiTheme="majorHAnsi" w:cstheme="majorHAnsi"/>
        </w:rPr>
        <w:t xml:space="preserve">): </w:t>
      </w:r>
    </w:p>
    <w:p w14:paraId="7A28C3A1" w14:textId="77777777" w:rsidR="00B92B16" w:rsidRPr="003813AF" w:rsidRDefault="00B92B16" w:rsidP="00B92B16">
      <w:pPr>
        <w:jc w:val="both"/>
        <w:rPr>
          <w:rFonts w:asciiTheme="majorHAnsi" w:hAnsiTheme="majorHAnsi" w:cstheme="majorHAnsi"/>
        </w:rPr>
      </w:pPr>
    </w:p>
    <w:p w14:paraId="08E60315" w14:textId="43FD033C" w:rsidR="00B92B16" w:rsidRPr="003813AF" w:rsidRDefault="00B92B16" w:rsidP="003813AF">
      <w:pPr>
        <w:pStyle w:val="ListParagraph"/>
        <w:numPr>
          <w:ilvl w:val="2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</w:rPr>
        <w:t>Adult:  10ml of 10% Calcium Chloride slow push</w:t>
      </w:r>
    </w:p>
    <w:p w14:paraId="7B10FF63" w14:textId="77777777" w:rsidR="00B92B16" w:rsidRPr="003813AF" w:rsidRDefault="00B92B16" w:rsidP="00B92B16">
      <w:pPr>
        <w:jc w:val="both"/>
        <w:rPr>
          <w:rFonts w:asciiTheme="majorHAnsi" w:hAnsiTheme="majorHAnsi" w:cstheme="majorHAnsi"/>
        </w:rPr>
      </w:pPr>
    </w:p>
    <w:p w14:paraId="56227319" w14:textId="574FC406" w:rsidR="00B92B16" w:rsidRPr="003813AF" w:rsidRDefault="00B92B16" w:rsidP="003813AF">
      <w:pPr>
        <w:pStyle w:val="ListParagraph"/>
        <w:numPr>
          <w:ilvl w:val="2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</w:rPr>
        <w:t>Pediatric:  0.2ml/kg of 10% Calcium Gluconate up to 10 ml slow push</w:t>
      </w:r>
      <w:commentRangeEnd w:id="0"/>
      <w:r w:rsidRPr="003813AF">
        <w:rPr>
          <w:rStyle w:val="CommentReference"/>
          <w:rFonts w:asciiTheme="majorHAnsi" w:hAnsiTheme="majorHAnsi" w:cstheme="majorHAnsi"/>
          <w:sz w:val="24"/>
          <w:szCs w:val="24"/>
        </w:rPr>
        <w:commentReference w:id="0"/>
      </w:r>
    </w:p>
    <w:p w14:paraId="3A156187" w14:textId="77777777" w:rsidR="008D6CE4" w:rsidRPr="003813AF" w:rsidRDefault="008D6CE4" w:rsidP="008D6CE4">
      <w:pPr>
        <w:jc w:val="both"/>
        <w:rPr>
          <w:rFonts w:asciiTheme="majorHAnsi" w:hAnsiTheme="majorHAnsi" w:cstheme="majorHAnsi"/>
          <w:b/>
          <w:bCs/>
        </w:rPr>
      </w:pPr>
    </w:p>
    <w:p w14:paraId="27FB5DB7" w14:textId="77777777" w:rsidR="00FA1AE4" w:rsidRPr="003813AF" w:rsidRDefault="00FA1AE4" w:rsidP="003813AF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  <w:bCs/>
        </w:rPr>
        <w:t>Basics</w:t>
      </w:r>
      <w:r w:rsidRPr="003813AF">
        <w:rPr>
          <w:rFonts w:asciiTheme="majorHAnsi" w:hAnsiTheme="majorHAnsi" w:cstheme="majorHAnsi"/>
        </w:rPr>
        <w:t>- Continue to reassess ABCs</w:t>
      </w:r>
    </w:p>
    <w:p w14:paraId="71470234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4C2C8518" w14:textId="6959C970" w:rsidR="00FA1AE4" w:rsidRPr="003813AF" w:rsidRDefault="00FA1AE4" w:rsidP="003813AF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  <w:bCs/>
        </w:rPr>
        <w:t>Change Catabolism-</w:t>
      </w:r>
      <w:r w:rsidRPr="003813AF">
        <w:rPr>
          <w:rFonts w:asciiTheme="majorHAnsi" w:hAnsiTheme="majorHAnsi" w:cstheme="majorHAnsi"/>
        </w:rPr>
        <w:t xml:space="preserve"> </w:t>
      </w:r>
      <w:r w:rsidR="008D6CE4" w:rsidRPr="003813AF">
        <w:rPr>
          <w:rFonts w:asciiTheme="majorHAnsi" w:hAnsiTheme="majorHAnsi" w:cstheme="majorHAnsi"/>
        </w:rPr>
        <w:t>N/A</w:t>
      </w:r>
    </w:p>
    <w:p w14:paraId="62FABB77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47F6A497" w14:textId="1A41B2DD" w:rsidR="00FA1AE4" w:rsidRPr="003813AF" w:rsidRDefault="00FA1AE4" w:rsidP="003813AF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  <w:bCs/>
        </w:rPr>
        <w:t>Distribute Differently-</w:t>
      </w:r>
      <w:r w:rsidRPr="003813AF">
        <w:rPr>
          <w:rFonts w:asciiTheme="majorHAnsi" w:hAnsiTheme="majorHAnsi" w:cstheme="majorHAnsi"/>
        </w:rPr>
        <w:t xml:space="preserve"> </w:t>
      </w:r>
      <w:r w:rsidR="008D6CE4" w:rsidRPr="003813AF">
        <w:rPr>
          <w:rFonts w:asciiTheme="majorHAnsi" w:hAnsiTheme="majorHAnsi" w:cstheme="majorHAnsi"/>
        </w:rPr>
        <w:t xml:space="preserve">Calcium </w:t>
      </w:r>
      <w:r w:rsidR="00E1554E" w:rsidRPr="003813AF">
        <w:rPr>
          <w:rFonts w:asciiTheme="majorHAnsi" w:hAnsiTheme="majorHAnsi" w:cstheme="majorHAnsi"/>
        </w:rPr>
        <w:t>as discussed above</w:t>
      </w:r>
    </w:p>
    <w:p w14:paraId="5C14FEF5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2C85EF7F" w14:textId="66FE2AFE" w:rsidR="00FA1AE4" w:rsidRPr="003813AF" w:rsidRDefault="00FA1AE4" w:rsidP="003813AF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  <w:bCs/>
        </w:rPr>
        <w:t>Enhance Elimination-</w:t>
      </w:r>
      <w:r w:rsidRPr="003813AF">
        <w:rPr>
          <w:rFonts w:asciiTheme="majorHAnsi" w:hAnsiTheme="majorHAnsi" w:cstheme="majorHAnsi"/>
        </w:rPr>
        <w:t xml:space="preserve"> </w:t>
      </w:r>
      <w:r w:rsidR="008D6CE4" w:rsidRPr="003813AF">
        <w:rPr>
          <w:rFonts w:asciiTheme="majorHAnsi" w:hAnsiTheme="majorHAnsi" w:cstheme="majorHAnsi"/>
        </w:rPr>
        <w:t>N/A</w:t>
      </w:r>
    </w:p>
    <w:p w14:paraId="2941A398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562DCA7F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35BE4088" w14:textId="77777777" w:rsidR="00FA1AE4" w:rsidRPr="003813AF" w:rsidRDefault="00FA1AE4" w:rsidP="00FA1AE4">
      <w:pPr>
        <w:jc w:val="both"/>
        <w:rPr>
          <w:rFonts w:asciiTheme="majorHAnsi" w:hAnsiTheme="majorHAnsi" w:cstheme="majorHAnsi"/>
          <w:b/>
          <w:u w:val="single"/>
        </w:rPr>
      </w:pPr>
      <w:r w:rsidRPr="003813AF">
        <w:rPr>
          <w:rFonts w:asciiTheme="majorHAnsi" w:hAnsiTheme="majorHAnsi" w:cstheme="majorHAnsi"/>
          <w:b/>
          <w:u w:val="single"/>
        </w:rPr>
        <w:t>Reference</w:t>
      </w:r>
    </w:p>
    <w:p w14:paraId="5EBE6571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49467731" w14:textId="0455BB73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</w:rPr>
        <w:t>AHLS Provider Manual, 5</w:t>
      </w:r>
      <w:r w:rsidRPr="003813AF">
        <w:rPr>
          <w:rFonts w:asciiTheme="majorHAnsi" w:hAnsiTheme="majorHAnsi" w:cstheme="majorHAnsi"/>
          <w:vertAlign w:val="superscript"/>
        </w:rPr>
        <w:t>th</w:t>
      </w:r>
      <w:r w:rsidRPr="003813AF">
        <w:rPr>
          <w:rFonts w:asciiTheme="majorHAnsi" w:hAnsiTheme="majorHAnsi" w:cstheme="majorHAnsi"/>
        </w:rPr>
        <w:t xml:space="preserve"> Edition</w:t>
      </w:r>
    </w:p>
    <w:p w14:paraId="6804D2A1" w14:textId="1C114D59" w:rsidR="006677D2" w:rsidRPr="003813AF" w:rsidRDefault="006677D2" w:rsidP="00FA1AE4">
      <w:pPr>
        <w:jc w:val="both"/>
        <w:rPr>
          <w:rFonts w:asciiTheme="majorHAnsi" w:hAnsiTheme="majorHAnsi" w:cstheme="majorHAnsi"/>
        </w:rPr>
      </w:pPr>
    </w:p>
    <w:p w14:paraId="17DD9D67" w14:textId="77777777" w:rsidR="006677D2" w:rsidRPr="003813AF" w:rsidRDefault="006677D2" w:rsidP="006677D2">
      <w:p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</w:rPr>
        <w:t>Boulder County EMS Protocols</w:t>
      </w:r>
    </w:p>
    <w:p w14:paraId="2F577628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495CB0D3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  <w:r w:rsidRPr="003813AF">
        <w:rPr>
          <w:rFonts w:asciiTheme="majorHAnsi" w:hAnsiTheme="majorHAnsi" w:cstheme="majorHAnsi"/>
        </w:rPr>
        <w:t>Denver Metro EMS Protocols https://www.dmemsmd.org</w:t>
      </w:r>
    </w:p>
    <w:p w14:paraId="03F875C2" w14:textId="77777777" w:rsidR="00FA1AE4" w:rsidRPr="003813AF" w:rsidRDefault="00FA1AE4" w:rsidP="00FA1AE4">
      <w:pPr>
        <w:jc w:val="both"/>
        <w:rPr>
          <w:rFonts w:asciiTheme="majorHAnsi" w:hAnsiTheme="majorHAnsi" w:cstheme="majorHAnsi"/>
        </w:rPr>
      </w:pPr>
    </w:p>
    <w:p w14:paraId="6DCA448D" w14:textId="77777777" w:rsidR="00FA1AE4" w:rsidRPr="007D36CB" w:rsidRDefault="00FA1AE4" w:rsidP="00FA1AE4">
      <w:pPr>
        <w:jc w:val="both"/>
        <w:rPr>
          <w:rFonts w:ascii="Arial" w:hAnsi="Arial" w:cs="Arial"/>
        </w:rPr>
      </w:pPr>
    </w:p>
    <w:p w14:paraId="17F41934" w14:textId="77777777" w:rsidR="002069DB" w:rsidRPr="00E74A49" w:rsidRDefault="002069DB" w:rsidP="00E74A49">
      <w:pPr>
        <w:jc w:val="both"/>
        <w:rPr>
          <w:rFonts w:ascii="Arial" w:hAnsi="Arial" w:cs="Arial"/>
        </w:rPr>
      </w:pPr>
    </w:p>
    <w:sectPr w:rsidR="002069DB" w:rsidRPr="00E74A49" w:rsidSect="002019AC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son Roosa" w:date="2021-11-30T07:57:00Z" w:initials="JR">
    <w:p w14:paraId="468BBF06" w14:textId="4CB66DCF" w:rsidR="00B92B16" w:rsidRDefault="00B92B16">
      <w:pPr>
        <w:pStyle w:val="CommentText"/>
      </w:pPr>
      <w:r>
        <w:rPr>
          <w:rStyle w:val="CommentReference"/>
        </w:rPr>
        <w:annotationRef/>
      </w:r>
      <w:r>
        <w:t>This indication isn’t listed in Denver Metro Protocol, but dosing is for pulseless arrest.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8BBF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BBF06" w16cid:durableId="255057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F9BF" w14:textId="77777777" w:rsidR="00A378A4" w:rsidRDefault="00A378A4" w:rsidP="002069DB">
      <w:r>
        <w:separator/>
      </w:r>
    </w:p>
  </w:endnote>
  <w:endnote w:type="continuationSeparator" w:id="0">
    <w:p w14:paraId="0A859B93" w14:textId="77777777" w:rsidR="00A378A4" w:rsidRDefault="00A378A4" w:rsidP="0020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D1E2" w14:textId="77777777" w:rsidR="00E74A49" w:rsidRDefault="00E74A49" w:rsidP="00E3589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4C6F5" w14:textId="77777777" w:rsidR="002069DB" w:rsidRDefault="00000000" w:rsidP="00E74A49">
    <w:pPr>
      <w:pStyle w:val="Footer"/>
      <w:ind w:right="360" w:firstLine="360"/>
    </w:pPr>
    <w:sdt>
      <w:sdtPr>
        <w:id w:val="969400743"/>
        <w:temporary/>
        <w:showingPlcHdr/>
      </w:sdtPr>
      <w:sdtContent>
        <w:r w:rsidR="00E74A49">
          <w:t>[Type text]</w:t>
        </w:r>
      </w:sdtContent>
    </w:sdt>
    <w:r w:rsidR="00E74A49">
      <w:ptab w:relativeTo="margin" w:alignment="center" w:leader="none"/>
    </w:r>
    <w:sdt>
      <w:sdtPr>
        <w:id w:val="969400748"/>
        <w:temporary/>
        <w:showingPlcHdr/>
      </w:sdtPr>
      <w:sdtContent>
        <w:r w:rsidR="00E74A49">
          <w:t>[Type text]</w:t>
        </w:r>
      </w:sdtContent>
    </w:sdt>
    <w:r w:rsidR="00E74A49">
      <w:ptab w:relativeTo="margin" w:alignment="right" w:leader="none"/>
    </w:r>
    <w:sdt>
      <w:sdtPr>
        <w:id w:val="969400753"/>
        <w:temporary/>
        <w:showingPlcHdr/>
      </w:sdtPr>
      <w:sdtContent>
        <w:r w:rsidR="00E74A4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A568" w14:textId="77777777" w:rsidR="00E74A49" w:rsidRPr="00E74A49" w:rsidRDefault="00E74A49" w:rsidP="00E3589D">
    <w:pPr>
      <w:pStyle w:val="Footer"/>
      <w:framePr w:wrap="around" w:vAnchor="text" w:hAnchor="margin" w:y="1"/>
      <w:rPr>
        <w:rStyle w:val="PageNumber"/>
        <w:rFonts w:ascii="Arial" w:hAnsi="Arial" w:cs="Arial"/>
        <w:sz w:val="20"/>
        <w:szCs w:val="20"/>
      </w:rPr>
    </w:pPr>
    <w:r w:rsidRPr="00E74A49">
      <w:rPr>
        <w:rStyle w:val="PageNumber"/>
        <w:rFonts w:ascii="Arial" w:hAnsi="Arial" w:cs="Arial"/>
        <w:sz w:val="20"/>
        <w:szCs w:val="20"/>
      </w:rPr>
      <w:fldChar w:fldCharType="begin"/>
    </w:r>
    <w:r w:rsidRPr="00E74A49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74A49">
      <w:rPr>
        <w:rStyle w:val="PageNumber"/>
        <w:rFonts w:ascii="Arial" w:hAnsi="Arial" w:cs="Arial"/>
        <w:sz w:val="20"/>
        <w:szCs w:val="20"/>
      </w:rPr>
      <w:fldChar w:fldCharType="separate"/>
    </w:r>
    <w:r w:rsidR="00B43F68">
      <w:rPr>
        <w:rStyle w:val="PageNumber"/>
        <w:rFonts w:ascii="Arial" w:hAnsi="Arial" w:cs="Arial"/>
        <w:noProof/>
        <w:sz w:val="20"/>
        <w:szCs w:val="20"/>
      </w:rPr>
      <w:t>1</w:t>
    </w:r>
    <w:r w:rsidRPr="00E74A49">
      <w:rPr>
        <w:rStyle w:val="PageNumber"/>
        <w:rFonts w:ascii="Arial" w:hAnsi="Arial" w:cs="Arial"/>
        <w:sz w:val="20"/>
        <w:szCs w:val="20"/>
      </w:rPr>
      <w:fldChar w:fldCharType="end"/>
    </w:r>
  </w:p>
  <w:p w14:paraId="35334233" w14:textId="0D2CA972" w:rsidR="002069DB" w:rsidRPr="00E74A49" w:rsidRDefault="002069DB" w:rsidP="00E74A49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F24D" w14:textId="77777777" w:rsidR="00A378A4" w:rsidRDefault="00A378A4" w:rsidP="002069DB">
      <w:r>
        <w:separator/>
      </w:r>
    </w:p>
  </w:footnote>
  <w:footnote w:type="continuationSeparator" w:id="0">
    <w:p w14:paraId="2CEB0F74" w14:textId="77777777" w:rsidR="00A378A4" w:rsidRDefault="00A378A4" w:rsidP="0020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568D" w14:textId="03320E76" w:rsidR="002069DB" w:rsidRDefault="00AC224A">
    <w:pPr>
      <w:pStyle w:val="Header"/>
    </w:pPr>
    <w:r>
      <w:rPr>
        <w:noProof/>
      </w:rPr>
    </w:r>
    <w:r w:rsidR="00AC224A">
      <w:rPr>
        <w:noProof/>
      </w:rPr>
      <w:pict w14:anchorId="32617B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16535" o:spid="_x0000_s1026" type="#_x0000_t136" alt="" style="position:absolute;margin-left:0;margin-top:0;width:456.8pt;height:152.2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  <w:sdt>
      <w:sdtPr>
        <w:id w:val="171999623"/>
        <w:placeholder>
          <w:docPart w:val="07C8F9127352DB4A978ABDDC93D065C6"/>
        </w:placeholder>
        <w:temporary/>
        <w:showingPlcHdr/>
      </w:sdtPr>
      <w:sdtContent>
        <w:r w:rsidR="002069DB">
          <w:t>[Type text]</w:t>
        </w:r>
      </w:sdtContent>
    </w:sdt>
    <w:r w:rsidR="002069DB">
      <w:ptab w:relativeTo="margin" w:alignment="center" w:leader="none"/>
    </w:r>
    <w:sdt>
      <w:sdtPr>
        <w:id w:val="171999624"/>
        <w:placeholder>
          <w:docPart w:val="E119DAAE85211C4A9FB56FE44DCF3BB4"/>
        </w:placeholder>
        <w:temporary/>
        <w:showingPlcHdr/>
      </w:sdtPr>
      <w:sdtContent>
        <w:r w:rsidR="002069DB">
          <w:t>[Type text]</w:t>
        </w:r>
      </w:sdtContent>
    </w:sdt>
    <w:r w:rsidR="002069DB">
      <w:ptab w:relativeTo="margin" w:alignment="right" w:leader="none"/>
    </w:r>
    <w:sdt>
      <w:sdtPr>
        <w:id w:val="171999625"/>
        <w:placeholder>
          <w:docPart w:val="96FA32E7C6F4E043BE8F20953729DE47"/>
        </w:placeholder>
        <w:temporary/>
        <w:showingPlcHdr/>
      </w:sdtPr>
      <w:sdtContent>
        <w:r w:rsidR="002069DB">
          <w:t>[Type text]</w:t>
        </w:r>
      </w:sdtContent>
    </w:sdt>
  </w:p>
  <w:p w14:paraId="14242F66" w14:textId="77777777" w:rsidR="002069DB" w:rsidRDefault="00206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B509" w14:textId="2146FD9C" w:rsidR="00DB64D1" w:rsidRDefault="00AC224A">
    <w:pPr>
      <w:pStyle w:val="Header"/>
    </w:pPr>
    <w:r>
      <w:rPr>
        <w:noProof/>
      </w:rPr>
    </w:r>
    <w:r w:rsidR="00AC224A">
      <w:rPr>
        <w:noProof/>
      </w:rPr>
      <w:pict w14:anchorId="3B7C04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16534" o:spid="_x0000_s1025" type="#_x0000_t136" alt="" style="position:absolute;margin-left:0;margin-top:0;width:456.8pt;height:152.2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2CD"/>
    <w:multiLevelType w:val="hybridMultilevel"/>
    <w:tmpl w:val="9F9A3D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B7E34"/>
    <w:multiLevelType w:val="hybridMultilevel"/>
    <w:tmpl w:val="C71C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27D38"/>
    <w:multiLevelType w:val="hybridMultilevel"/>
    <w:tmpl w:val="8C24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40730">
    <w:abstractNumId w:val="1"/>
  </w:num>
  <w:num w:numId="2" w16cid:durableId="1478573466">
    <w:abstractNumId w:val="0"/>
  </w:num>
  <w:num w:numId="3" w16cid:durableId="7934094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Roosa">
    <w15:presenceInfo w15:providerId="Windows Live" w15:userId="2130053240ec37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DB"/>
    <w:rsid w:val="0019397C"/>
    <w:rsid w:val="002019AC"/>
    <w:rsid w:val="002069DB"/>
    <w:rsid w:val="00283DFF"/>
    <w:rsid w:val="002E34DB"/>
    <w:rsid w:val="003813AF"/>
    <w:rsid w:val="004A6ED2"/>
    <w:rsid w:val="005400A1"/>
    <w:rsid w:val="005A79F5"/>
    <w:rsid w:val="005D3561"/>
    <w:rsid w:val="006677D2"/>
    <w:rsid w:val="006762B4"/>
    <w:rsid w:val="007B2AA7"/>
    <w:rsid w:val="008D6CE4"/>
    <w:rsid w:val="008D7A9E"/>
    <w:rsid w:val="008E7E18"/>
    <w:rsid w:val="00970129"/>
    <w:rsid w:val="00A378A4"/>
    <w:rsid w:val="00AA76C7"/>
    <w:rsid w:val="00AC224A"/>
    <w:rsid w:val="00B43BC3"/>
    <w:rsid w:val="00B43F68"/>
    <w:rsid w:val="00B92B16"/>
    <w:rsid w:val="00C02120"/>
    <w:rsid w:val="00C16D47"/>
    <w:rsid w:val="00CC7ADD"/>
    <w:rsid w:val="00CF1C52"/>
    <w:rsid w:val="00D12990"/>
    <w:rsid w:val="00DB64D1"/>
    <w:rsid w:val="00DF3F02"/>
    <w:rsid w:val="00E1554E"/>
    <w:rsid w:val="00E74A49"/>
    <w:rsid w:val="00F17654"/>
    <w:rsid w:val="00F86564"/>
    <w:rsid w:val="00F86CDA"/>
    <w:rsid w:val="00FA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099B3"/>
  <w14:defaultImageDpi w14:val="300"/>
  <w15:docId w15:val="{872A264D-C780-4146-89DC-3AE8EB78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9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9DB"/>
  </w:style>
  <w:style w:type="paragraph" w:styleId="Footer">
    <w:name w:val="footer"/>
    <w:basedOn w:val="Normal"/>
    <w:link w:val="FooterChar"/>
    <w:uiPriority w:val="99"/>
    <w:unhideWhenUsed/>
    <w:rsid w:val="002069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9DB"/>
  </w:style>
  <w:style w:type="character" w:styleId="PageNumber">
    <w:name w:val="page number"/>
    <w:basedOn w:val="DefaultParagraphFont"/>
    <w:uiPriority w:val="99"/>
    <w:semiHidden/>
    <w:unhideWhenUsed/>
    <w:rsid w:val="002069DB"/>
  </w:style>
  <w:style w:type="table" w:styleId="TableGrid">
    <w:name w:val="Table Grid"/>
    <w:basedOn w:val="TableNormal"/>
    <w:uiPriority w:val="59"/>
    <w:rsid w:val="0020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356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A1A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A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E4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B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C8F9127352DB4A978ABDDC93D0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2275-935F-AC40-8AAF-2B6A9A7DED2F}"/>
      </w:docPartPr>
      <w:docPartBody>
        <w:p w:rsidR="00AC6A2C" w:rsidRDefault="00AC6A2C" w:rsidP="00AC6A2C">
          <w:pPr>
            <w:pStyle w:val="07C8F9127352DB4A978ABDDC93D065C6"/>
          </w:pPr>
          <w:r>
            <w:t>[Type text]</w:t>
          </w:r>
        </w:p>
      </w:docPartBody>
    </w:docPart>
    <w:docPart>
      <w:docPartPr>
        <w:name w:val="E119DAAE85211C4A9FB56FE44DCF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95F59-68E1-4448-A2E7-5E5C9D5CCAF1}"/>
      </w:docPartPr>
      <w:docPartBody>
        <w:p w:rsidR="00AC6A2C" w:rsidRDefault="00AC6A2C" w:rsidP="00AC6A2C">
          <w:pPr>
            <w:pStyle w:val="E119DAAE85211C4A9FB56FE44DCF3BB4"/>
          </w:pPr>
          <w:r>
            <w:t>[Type text]</w:t>
          </w:r>
        </w:p>
      </w:docPartBody>
    </w:docPart>
    <w:docPart>
      <w:docPartPr>
        <w:name w:val="96FA32E7C6F4E043BE8F20953729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1AB5-4D33-2742-BE73-192869C595A6}"/>
      </w:docPartPr>
      <w:docPartBody>
        <w:p w:rsidR="00AC6A2C" w:rsidRDefault="00AC6A2C" w:rsidP="00AC6A2C">
          <w:pPr>
            <w:pStyle w:val="96FA32E7C6F4E043BE8F20953729DE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A2C"/>
    <w:rsid w:val="000C59D3"/>
    <w:rsid w:val="00153B6C"/>
    <w:rsid w:val="0060244D"/>
    <w:rsid w:val="006F0438"/>
    <w:rsid w:val="009F4EDE"/>
    <w:rsid w:val="00A07B00"/>
    <w:rsid w:val="00AB77DD"/>
    <w:rsid w:val="00AC6A2C"/>
    <w:rsid w:val="00B47509"/>
    <w:rsid w:val="00D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C8F9127352DB4A978ABDDC93D065C6">
    <w:name w:val="07C8F9127352DB4A978ABDDC93D065C6"/>
    <w:rsid w:val="00AC6A2C"/>
  </w:style>
  <w:style w:type="paragraph" w:customStyle="1" w:styleId="E119DAAE85211C4A9FB56FE44DCF3BB4">
    <w:name w:val="E119DAAE85211C4A9FB56FE44DCF3BB4"/>
    <w:rsid w:val="00AC6A2C"/>
  </w:style>
  <w:style w:type="paragraph" w:customStyle="1" w:styleId="96FA32E7C6F4E043BE8F20953729DE47">
    <w:name w:val="96FA32E7C6F4E043BE8F20953729DE47"/>
    <w:rsid w:val="00AC6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A799BB-8D8D-8B47-A11B-0DEEFED26C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Garrett</dc:creator>
  <cp:keywords/>
  <dc:description/>
  <cp:lastModifiedBy>Stewart Visser</cp:lastModifiedBy>
  <cp:revision>5</cp:revision>
  <dcterms:created xsi:type="dcterms:W3CDTF">2022-04-10T15:05:00Z</dcterms:created>
  <dcterms:modified xsi:type="dcterms:W3CDTF">2022-08-05T13:05:00Z</dcterms:modified>
</cp:coreProperties>
</file>