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822F" w14:textId="6B624C9E" w:rsidR="0048483A" w:rsidRPr="0048483A" w:rsidRDefault="00B9603D" w:rsidP="0048483A">
      <w:pPr>
        <w:rPr>
          <w:b/>
          <w:bCs/>
          <w:u w:val="single"/>
        </w:rPr>
      </w:pPr>
      <w:r>
        <w:rPr>
          <w:b/>
          <w:bCs/>
          <w:u w:val="single"/>
        </w:rPr>
        <w:t>COVID-19 Response Award</w:t>
      </w:r>
    </w:p>
    <w:p w14:paraId="7B5DD981" w14:textId="5DEF5E1D" w:rsidR="00B9603D" w:rsidRDefault="00B9603D" w:rsidP="0048483A">
      <w:pPr>
        <w:rPr>
          <w:b/>
          <w:bCs/>
        </w:rPr>
      </w:pPr>
      <w:r>
        <w:rPr>
          <w:b/>
          <w:bCs/>
        </w:rPr>
        <w:t>Description of Agency and its Programs</w:t>
      </w:r>
    </w:p>
    <w:p w14:paraId="1FDD4B80" w14:textId="49F7513E" w:rsidR="00B9603D" w:rsidRDefault="00B9603D" w:rsidP="0048483A">
      <w:r w:rsidRPr="00B9603D">
        <w:t xml:space="preserve">Counsilman-Hunsaker is </w:t>
      </w:r>
      <w:r>
        <w:t xml:space="preserve">a national aquatic consulting firm </w:t>
      </w:r>
      <w:r w:rsidRPr="00B9603D">
        <w:t>made up of an integrated team of design professionals and operational specialists with unrivaled aquatic industry experience, bringing exceptional collaboration skills for the design and delivery of high-quality, innovative aquatic facilities while our operational specialists serve as guide</w:t>
      </w:r>
      <w:r>
        <w:t>s</w:t>
      </w:r>
      <w:r w:rsidRPr="00B9603D">
        <w:t xml:space="preserve"> in achieving long-term operational success.</w:t>
      </w:r>
      <w:r>
        <w:t xml:space="preserve">  Counsilman-Hunsaker provides a “Full Circle” of expertise to </w:t>
      </w:r>
      <w:proofErr w:type="spellStart"/>
      <w:proofErr w:type="gramStart"/>
      <w:r>
        <w:t>it’s</w:t>
      </w:r>
      <w:proofErr w:type="spellEnd"/>
      <w:proofErr w:type="gramEnd"/>
      <w:r>
        <w:t xml:space="preserve"> clients – Audit, Study, Design, Operations and Web Applications and is a thought leader in the industry that provides support to the leading organizations in the aquatic world.  </w:t>
      </w:r>
    </w:p>
    <w:p w14:paraId="60B9141F" w14:textId="6C07A029" w:rsidR="0048483A" w:rsidRDefault="00B9603D" w:rsidP="0048483A">
      <w:pPr>
        <w:rPr>
          <w:b/>
          <w:bCs/>
        </w:rPr>
      </w:pPr>
      <w:r>
        <w:rPr>
          <w:b/>
          <w:bCs/>
        </w:rPr>
        <w:t xml:space="preserve">Why does your agency deserve recognition? </w:t>
      </w:r>
    </w:p>
    <w:p w14:paraId="52EDF6BA" w14:textId="52E15D7C" w:rsidR="0048483A" w:rsidRPr="006D3469" w:rsidRDefault="006D3469" w:rsidP="0048483A">
      <w:r>
        <w:t xml:space="preserve">In the wake of the 2020 COVID Pandemic, aquatic facilities were unsure of how to respond to calls to reopen.  Counsilman-Hunsaker </w:t>
      </w:r>
      <w:r w:rsidR="0036789E">
        <w:t>sought</w:t>
      </w:r>
      <w:r>
        <w:t xml:space="preserve"> to provide guidance and resources to assist facilities in re-opening, create procedures to increase safety during the pandemic</w:t>
      </w:r>
      <w:r w:rsidR="0036789E">
        <w:t>,</w:t>
      </w:r>
      <w:r>
        <w:t xml:space="preserve"> and provide resources for </w:t>
      </w:r>
      <w:r w:rsidR="002009AC">
        <w:t xml:space="preserve">operators </w:t>
      </w:r>
      <w:r>
        <w:t xml:space="preserve">to reference.  </w:t>
      </w:r>
    </w:p>
    <w:p w14:paraId="537C88F2" w14:textId="77777777" w:rsidR="00F03FD2" w:rsidRDefault="006D3469" w:rsidP="0048483A">
      <w:r>
        <w:t>Counsilman-Hunsaker created several initiatives to reach our goal of providing guidance and resources to the aquatic community</w:t>
      </w:r>
      <w:r w:rsidR="00F03FD2">
        <w:t xml:space="preserve"> including presentations, resource collateral and partnerships to aid in re-opening aquatic facilities</w:t>
      </w:r>
      <w:r>
        <w:t xml:space="preserve">.  </w:t>
      </w:r>
    </w:p>
    <w:p w14:paraId="3C3BC640" w14:textId="31824778" w:rsidR="00F03FD2" w:rsidRDefault="006D3469" w:rsidP="0048483A">
      <w:r>
        <w:t xml:space="preserve">Counsilman-Hunsaker Operations (CHO) staff held </w:t>
      </w:r>
      <w:r w:rsidR="002009AC">
        <w:t>13 webinars between April 8</w:t>
      </w:r>
      <w:r w:rsidR="002009AC" w:rsidRPr="002009AC">
        <w:rPr>
          <w:vertAlign w:val="superscript"/>
        </w:rPr>
        <w:t>th</w:t>
      </w:r>
      <w:r w:rsidR="002009AC">
        <w:t xml:space="preserve"> and May 20</w:t>
      </w:r>
      <w:r w:rsidR="002009AC" w:rsidRPr="002009AC">
        <w:rPr>
          <w:vertAlign w:val="superscript"/>
        </w:rPr>
        <w:t>th</w:t>
      </w:r>
      <w:r w:rsidR="0036789E">
        <w:t>, 2020</w:t>
      </w:r>
      <w:r w:rsidR="002009AC">
        <w:t xml:space="preserve"> with industry associations and leaders including</w:t>
      </w:r>
      <w:r w:rsidR="00F03FD2">
        <w:t xml:space="preserve"> the American Red Cross, Clear Comfort</w:t>
      </w:r>
      <w:r w:rsidR="002009AC">
        <w:t xml:space="preserve"> and the National Drowning Prevention Alliance</w:t>
      </w:r>
      <w:r w:rsidR="00F03FD2">
        <w:t xml:space="preserve"> in an effort to help aquatic operators navigate through CDC recommendations, local protocols and emerging best practices.   </w:t>
      </w:r>
    </w:p>
    <w:p w14:paraId="3CBACB44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April 8 (National Drowning Prevention Alliance)</w:t>
      </w:r>
    </w:p>
    <w:p w14:paraId="6514C2B9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Webinar: “Being prepared in a time of uncertainty”</w:t>
      </w:r>
    </w:p>
    <w:p w14:paraId="687F16EF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Kevin Post, Mick and Sue Nelson, Jill White, Laurie Dennome)</w:t>
      </w:r>
    </w:p>
    <w:p w14:paraId="6E9FC5F5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260 attendees</w:t>
      </w:r>
    </w:p>
    <w:p w14:paraId="027A40DE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April 15 (North Texas Aquatics Association)</w:t>
      </w:r>
    </w:p>
    <w:p w14:paraId="271737AD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Presentation: “Opening/Closing Industry Update”</w:t>
      </w:r>
    </w:p>
    <w:p w14:paraId="40BFB613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George Deines</w:t>
      </w:r>
    </w:p>
    <w:p w14:paraId="15B8D9A9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200 attendees</w:t>
      </w:r>
    </w:p>
    <w:p w14:paraId="6F82EB4E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April 21 (New Jersey Parks and Recreation Aquatics Section)</w:t>
      </w:r>
    </w:p>
    <w:p w14:paraId="0C89F10C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Presentation: “Benefit of Seasonal Aquatic Facilities”</w:t>
      </w:r>
    </w:p>
    <w:p w14:paraId="22F10771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George Deines</w:t>
      </w:r>
    </w:p>
    <w:p w14:paraId="13B748BB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80 attendees</w:t>
      </w:r>
    </w:p>
    <w:p w14:paraId="1BE8FF0F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April 22 (North Texas Aquatics Association)</w:t>
      </w:r>
    </w:p>
    <w:p w14:paraId="548DB35F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Presentation: “Benefit of Seasonal Aquatic Facilities”</w:t>
      </w:r>
    </w:p>
    <w:p w14:paraId="5B2723F1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George Deines</w:t>
      </w:r>
    </w:p>
    <w:p w14:paraId="079ACBFE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280 attendees</w:t>
      </w:r>
    </w:p>
    <w:p w14:paraId="589070EA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April 24 (Clear Comfort)</w:t>
      </w:r>
    </w:p>
    <w:p w14:paraId="3848B034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Webinar: “During &amp; After COVID: Adapting Your Aquatics Facility to a New World”</w:t>
      </w:r>
    </w:p>
    <w:p w14:paraId="579C83A5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Kevin Post</w:t>
      </w:r>
    </w:p>
    <w:p w14:paraId="2A733918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lastRenderedPageBreak/>
        <w:t>599 attendees</w:t>
      </w:r>
    </w:p>
    <w:p w14:paraId="216213A1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Chicagoland Zoom</w:t>
      </w:r>
    </w:p>
    <w:p w14:paraId="4A97CD05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COVID Guidance – Q&amp;A</w:t>
      </w:r>
    </w:p>
    <w:p w14:paraId="3CA1283C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Miklos Valdez</w:t>
      </w:r>
    </w:p>
    <w:p w14:paraId="0D916376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60 attendees</w:t>
      </w:r>
    </w:p>
    <w:p w14:paraId="1DA15B4B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April 29 (California Parks and Recreation Society)</w:t>
      </w:r>
    </w:p>
    <w:p w14:paraId="52381347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Presentation: “Benefit of Seasonal Aquatic Facilities”</w:t>
      </w:r>
    </w:p>
    <w:p w14:paraId="4C486C20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George Deines</w:t>
      </w:r>
    </w:p>
    <w:p w14:paraId="1168DF98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115 attendees</w:t>
      </w:r>
    </w:p>
    <w:p w14:paraId="7F568722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April 30 (Nevada Territories Update)</w:t>
      </w:r>
    </w:p>
    <w:p w14:paraId="358B170B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American Red Cross Webinar – Q&amp;A</w:t>
      </w:r>
    </w:p>
    <w:p w14:paraId="33FFC5DB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Miklos Valdez</w:t>
      </w:r>
    </w:p>
    <w:p w14:paraId="7656399F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43 attendees</w:t>
      </w:r>
    </w:p>
    <w:p w14:paraId="7559DEEB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May 1 (Clear Comfort)</w:t>
      </w:r>
    </w:p>
    <w:p w14:paraId="13C9E61E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Webinar: “During &amp; After COVID: Adapting Your Aquatics Facility to a New World, Part 2”</w:t>
      </w:r>
    </w:p>
    <w:p w14:paraId="438DD368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Kevin Post, Miklos Valdez, George Deines</w:t>
      </w:r>
    </w:p>
    <w:p w14:paraId="32F413B3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386 attendees</w:t>
      </w:r>
    </w:p>
    <w:p w14:paraId="58A4887A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May 5 (Northeast Aquatics)</w:t>
      </w:r>
    </w:p>
    <w:p w14:paraId="3B1490FA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American Red Cross Webinar – Q&amp;A</w:t>
      </w:r>
    </w:p>
    <w:p w14:paraId="1F0AACCD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Kevin Post</w:t>
      </w:r>
    </w:p>
    <w:p w14:paraId="7793F01D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70 attendees</w:t>
      </w:r>
    </w:p>
    <w:p w14:paraId="016F78DB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May 13 (North Texas Aquatics Association)</w:t>
      </w:r>
    </w:p>
    <w:p w14:paraId="2C7C27D3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Presentation: “Taking A Deeper Dive Into Safely Reopening Seasonal Aquatic Facilities”</w:t>
      </w:r>
    </w:p>
    <w:p w14:paraId="3210A152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George Deines</w:t>
      </w:r>
    </w:p>
    <w:p w14:paraId="430999B3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375 attendees</w:t>
      </w:r>
    </w:p>
    <w:p w14:paraId="625A2E1F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May 15 (Pacific Northwest Aquatics)</w:t>
      </w:r>
    </w:p>
    <w:p w14:paraId="38A8455C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Presentation “Taking A Deeper Dive Into Safely Reopening Seasonal Aquatic Facilities”</w:t>
      </w:r>
    </w:p>
    <w:p w14:paraId="2A79BC0E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Miklos Valdez</w:t>
      </w:r>
    </w:p>
    <w:p w14:paraId="1B303290" w14:textId="27BE0B25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93</w:t>
      </w:r>
      <w:r>
        <w:t xml:space="preserve"> attendees</w:t>
      </w:r>
    </w:p>
    <w:p w14:paraId="2310911C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May 20 (World Waterpark Association)</w:t>
      </w:r>
    </w:p>
    <w:p w14:paraId="4D9BADFF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Webinar: “Taking A Deeper Dive Into Safely Reopening Seasonal Aquatic Facilities”</w:t>
      </w:r>
    </w:p>
    <w:p w14:paraId="686EECC5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93 attendees</w:t>
      </w:r>
    </w:p>
    <w:p w14:paraId="267673EB" w14:textId="39D22018" w:rsidR="002009AC" w:rsidRDefault="002009AC" w:rsidP="0048483A">
      <w:r>
        <w:t xml:space="preserve">Counsilman-Hunsaker also contributed four articles concerning COVID for industry publications including Aquatics International, SwimSwam, Parks and Recreation Business and the World Waterpark Association Magazine. </w:t>
      </w:r>
    </w:p>
    <w:p w14:paraId="200A8241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April 21 (Aquatics International)</w:t>
      </w:r>
    </w:p>
    <w:p w14:paraId="4E33B8E0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Article: “Championing Your Facility as We Come Out of the Crisis”</w:t>
      </w:r>
    </w:p>
    <w:p w14:paraId="31484B3C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George Deines</w:t>
      </w:r>
    </w:p>
    <w:p w14:paraId="3D7AF8D1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>April 21 (SwimSwam)</w:t>
      </w:r>
    </w:p>
    <w:p w14:paraId="31A8305C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Article: “The Importance of Recreational Summer League Swimming”</w:t>
      </w:r>
    </w:p>
    <w:p w14:paraId="1C54095F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George Deines</w:t>
      </w:r>
    </w:p>
    <w:p w14:paraId="473804CB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 xml:space="preserve">June 2020 (Parks and Recreation Business) </w:t>
      </w:r>
    </w:p>
    <w:p w14:paraId="4B1CC007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lastRenderedPageBreak/>
        <w:t>Article: “Caring for Your Aquatics Facilities from Prolonged Shutdown to Reopening”</w:t>
      </w:r>
    </w:p>
    <w:p w14:paraId="28FFB60B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Mike Gartland, George Deines</w:t>
      </w:r>
    </w:p>
    <w:p w14:paraId="74F7943E" w14:textId="77777777" w:rsidR="002009AC" w:rsidRPr="002009AC" w:rsidRDefault="002009AC" w:rsidP="002009AC">
      <w:pPr>
        <w:pStyle w:val="ListParagraph"/>
        <w:numPr>
          <w:ilvl w:val="0"/>
          <w:numId w:val="6"/>
        </w:numPr>
      </w:pPr>
      <w:r w:rsidRPr="002009AC">
        <w:t xml:space="preserve">June 2020 (World Waterpark Association Magazine) </w:t>
      </w:r>
    </w:p>
    <w:p w14:paraId="58FEFCF7" w14:textId="77777777" w:rsidR="002009AC" w:rsidRPr="002009AC" w:rsidRDefault="002009AC" w:rsidP="002009AC">
      <w:pPr>
        <w:pStyle w:val="ListParagraph"/>
        <w:numPr>
          <w:ilvl w:val="1"/>
          <w:numId w:val="6"/>
        </w:numPr>
      </w:pPr>
      <w:r w:rsidRPr="002009AC">
        <w:t>Article: “Planning for Your Park’s Opening”</w:t>
      </w:r>
    </w:p>
    <w:p w14:paraId="3FA86933" w14:textId="574B4E4F" w:rsidR="007476B7" w:rsidRDefault="002009AC" w:rsidP="0048483A">
      <w:pPr>
        <w:pStyle w:val="ListParagraph"/>
        <w:numPr>
          <w:ilvl w:val="1"/>
          <w:numId w:val="6"/>
        </w:numPr>
      </w:pPr>
      <w:r w:rsidRPr="002009AC">
        <w:t>George Deines</w:t>
      </w:r>
    </w:p>
    <w:p w14:paraId="714F358F" w14:textId="5FE7189F" w:rsidR="00F03FD2" w:rsidRDefault="00F03FD2" w:rsidP="0048483A">
      <w:r>
        <w:t xml:space="preserve">Counsilman-Hunsaker </w:t>
      </w:r>
      <w:r w:rsidR="006D3469">
        <w:t xml:space="preserve">developed a </w:t>
      </w:r>
      <w:r>
        <w:t>P</w:t>
      </w:r>
      <w:r w:rsidR="006D3469">
        <w:t>ool</w:t>
      </w:r>
      <w:r>
        <w:t xml:space="preserve"> O</w:t>
      </w:r>
      <w:r w:rsidR="006D3469">
        <w:t xml:space="preserve">penings </w:t>
      </w:r>
      <w:r>
        <w:t>M</w:t>
      </w:r>
      <w:r w:rsidR="006D3469">
        <w:t>ap</w:t>
      </w:r>
      <w:r>
        <w:t xml:space="preserve"> to assist operators and the industry to benchmark their pool openings with others around the country.  </w:t>
      </w:r>
    </w:p>
    <w:p w14:paraId="2C320BCF" w14:textId="77777777" w:rsidR="00F03FD2" w:rsidRDefault="00F03FD2" w:rsidP="0048483A">
      <w:r>
        <w:t xml:space="preserve">Counsilman-Hunsaker developed a </w:t>
      </w:r>
      <w:r w:rsidR="006D3469">
        <w:t>COVID resource manual</w:t>
      </w:r>
      <w:r>
        <w:t xml:space="preserve"> and</w:t>
      </w:r>
      <w:r w:rsidR="006D3469">
        <w:t xml:space="preserve"> resource page</w:t>
      </w:r>
      <w:r>
        <w:t xml:space="preserve"> to direct operators to industry guidance documents and best practices as they were released.  </w:t>
      </w:r>
    </w:p>
    <w:p w14:paraId="5DA44CF3" w14:textId="77777777" w:rsidR="00EE3C7D" w:rsidRDefault="00F03FD2" w:rsidP="0048483A">
      <w:r>
        <w:t xml:space="preserve">Counsilman-Hunsaker is now a member of the </w:t>
      </w:r>
      <w:r w:rsidR="006D3469">
        <w:t>Aquatics Coalition with other industry partners</w:t>
      </w:r>
      <w:r>
        <w:t xml:space="preserve"> to “</w:t>
      </w:r>
      <w:r w:rsidR="00EE3C7D">
        <w:t>…</w:t>
      </w:r>
      <w:r>
        <w:t>advocate for the return to purpose-driven instructional aquatics</w:t>
      </w:r>
      <w:r w:rsidR="00EE3C7D">
        <w:t xml:space="preserve">…” </w:t>
      </w:r>
    </w:p>
    <w:p w14:paraId="58F1B2E7" w14:textId="455E044C" w:rsidR="0048483A" w:rsidRPr="006D3469" w:rsidRDefault="00EE3C7D" w:rsidP="0048483A">
      <w:r>
        <w:t>Lastly, Counsilman-Hunsaker has provided guidance to multiple</w:t>
      </w:r>
      <w:r w:rsidR="006D3469">
        <w:t xml:space="preserve"> state </w:t>
      </w:r>
      <w:r>
        <w:t xml:space="preserve">and local health organizations </w:t>
      </w:r>
      <w:bookmarkStart w:id="0" w:name="_Hlk52457617"/>
      <w:r>
        <w:t xml:space="preserve">throughout the pandemic. </w:t>
      </w:r>
    </w:p>
    <w:p w14:paraId="1D5D48D6" w14:textId="38F1BC1D" w:rsidR="0048483A" w:rsidRPr="00823980" w:rsidRDefault="00EE3C7D" w:rsidP="0048483A">
      <w:pPr>
        <w:rPr>
          <w:b/>
          <w:bCs/>
        </w:rPr>
      </w:pPr>
      <w:r w:rsidRPr="00823980">
        <w:rPr>
          <w:b/>
          <w:bCs/>
        </w:rPr>
        <w:t>Through Counsilman-Hunsaker’s efforts, we have been able to yield the following results</w:t>
      </w:r>
      <w:r w:rsidR="002F6487" w:rsidRPr="00823980">
        <w:rPr>
          <w:b/>
          <w:bCs/>
        </w:rPr>
        <w:t>:</w:t>
      </w:r>
    </w:p>
    <w:p w14:paraId="4756C277" w14:textId="09945B9D" w:rsidR="002F6487" w:rsidRPr="007476B7" w:rsidRDefault="007476B7" w:rsidP="002F6487">
      <w:pPr>
        <w:pStyle w:val="ListParagraph"/>
        <w:numPr>
          <w:ilvl w:val="0"/>
          <w:numId w:val="2"/>
        </w:numPr>
      </w:pPr>
      <w:r w:rsidRPr="007476B7">
        <w:t>13 presentations delivered to over 2,600 operators</w:t>
      </w:r>
    </w:p>
    <w:p w14:paraId="790B3D1B" w14:textId="77777777" w:rsidR="007476B7" w:rsidRDefault="002F6487" w:rsidP="00EE3C7D">
      <w:pPr>
        <w:pStyle w:val="ListParagraph"/>
        <w:numPr>
          <w:ilvl w:val="0"/>
          <w:numId w:val="2"/>
        </w:numPr>
      </w:pPr>
      <w:r>
        <w:t xml:space="preserve">Facility </w:t>
      </w:r>
      <w:r w:rsidR="00EE3C7D">
        <w:t>O</w:t>
      </w:r>
      <w:r>
        <w:t xml:space="preserve">pening </w:t>
      </w:r>
      <w:r w:rsidR="00EE3C7D">
        <w:t>M</w:t>
      </w:r>
      <w:r>
        <w:t>ap: 188 Facilities responded</w:t>
      </w:r>
      <w:r w:rsidR="007476B7">
        <w:t xml:space="preserve"> with information on pool openings around the country</w:t>
      </w:r>
    </w:p>
    <w:p w14:paraId="35404969" w14:textId="77777777" w:rsidR="00D31FE5" w:rsidRDefault="007476B7" w:rsidP="00D31FE5">
      <w:pPr>
        <w:pStyle w:val="ListParagraph"/>
        <w:numPr>
          <w:ilvl w:val="0"/>
          <w:numId w:val="2"/>
        </w:numPr>
      </w:pPr>
      <w:r>
        <w:t xml:space="preserve"> </w:t>
      </w:r>
      <w:r w:rsidR="00D31FE5">
        <w:t>Promoted to the aquatics industry how to safely reopen pools to ensure the aquatic needs of communities across the country were met</w:t>
      </w:r>
    </w:p>
    <w:p w14:paraId="07AD3217" w14:textId="5B85B87D" w:rsidR="002F6487" w:rsidRPr="006D3469" w:rsidRDefault="00D31FE5" w:rsidP="00D31FE5">
      <w:pPr>
        <w:pStyle w:val="ListParagraph"/>
        <w:numPr>
          <w:ilvl w:val="0"/>
          <w:numId w:val="2"/>
        </w:numPr>
      </w:pPr>
      <w:r>
        <w:t>Assisted the aquatics industry in thinking through the practical implications of how to safely reopen public swimming pools</w:t>
      </w:r>
    </w:p>
    <w:p w14:paraId="71E288F8" w14:textId="52F2C7A3" w:rsidR="0048483A" w:rsidRDefault="00823980" w:rsidP="0048483A">
      <w:pPr>
        <w:rPr>
          <w:b/>
          <w:bCs/>
        </w:rPr>
      </w:pPr>
      <w:r>
        <w:rPr>
          <w:b/>
          <w:bCs/>
        </w:rPr>
        <w:t>Additional Information:</w:t>
      </w:r>
    </w:p>
    <w:p w14:paraId="488B5A82" w14:textId="000B422A" w:rsidR="0048483A" w:rsidRDefault="00EE3C7D" w:rsidP="0048483A">
      <w:r>
        <w:t>Counsilman-Hunsaker serves the aquatics industry all over the United States, from small municipalities and independent pools to large waterparks and national organizations.  The expertise, analysis and thought leadership Counsilman-Hunsaker provides creates aquatic experiences that transform people and their communities</w:t>
      </w:r>
      <w:r w:rsidR="002C1356">
        <w:t xml:space="preserve"> and the work the operations team provided in response to COVID was to make facilities safer and sustainable.  </w:t>
      </w:r>
    </w:p>
    <w:p w14:paraId="416FD004" w14:textId="298F3232" w:rsidR="0048483A" w:rsidRPr="00D31FE5" w:rsidRDefault="002C1356" w:rsidP="0048483A">
      <w:r>
        <w:t xml:space="preserve">The goal of the outreach efforts </w:t>
      </w:r>
      <w:r w:rsidR="007476B7">
        <w:t>was</w:t>
      </w:r>
      <w:r>
        <w:t xml:space="preserve"> to provide the expertise of the Counsilman-Hunsaker team to operators around the country and to as many as we could reach. </w:t>
      </w:r>
      <w:r w:rsidR="00D31FE5" w:rsidRPr="00D31FE5">
        <w:t>Seeing that municipal aquatic facilities are one of the primary ways that people are introduced to the water</w:t>
      </w:r>
      <w:r w:rsidR="00D31FE5">
        <w:t>,</w:t>
      </w:r>
      <w:r w:rsidR="00D31FE5" w:rsidRPr="00D31FE5">
        <w:t xml:space="preserve"> it was important to assist the industry in steps for the safe reopening of </w:t>
      </w:r>
      <w:bookmarkStart w:id="1" w:name="_GoBack"/>
      <w:bookmarkEnd w:id="1"/>
      <w:r w:rsidR="00D31FE5" w:rsidRPr="00D31FE5">
        <w:t xml:space="preserve">swimming pools so that aquatic users could experience of the health, wellness and psychological benefits of competitive swimming, lap swimming, recreational swimming, swimming lessons and water fitness classes. </w:t>
      </w:r>
    </w:p>
    <w:bookmarkEnd w:id="0"/>
    <w:p w14:paraId="3D947AA2" w14:textId="46E190DB" w:rsidR="0048483A" w:rsidRPr="0048483A" w:rsidRDefault="0048483A" w:rsidP="0048483A">
      <w:pPr>
        <w:rPr>
          <w:b/>
          <w:bCs/>
        </w:rPr>
      </w:pPr>
    </w:p>
    <w:sectPr w:rsidR="0048483A" w:rsidRPr="0048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95A35"/>
    <w:multiLevelType w:val="hybridMultilevel"/>
    <w:tmpl w:val="F1D29906"/>
    <w:lvl w:ilvl="0" w:tplc="E30CD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806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C7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C6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68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21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8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6BD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0F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05EA"/>
    <w:multiLevelType w:val="hybridMultilevel"/>
    <w:tmpl w:val="3F6A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92350"/>
    <w:multiLevelType w:val="hybridMultilevel"/>
    <w:tmpl w:val="D9FC3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1F1AB1"/>
    <w:multiLevelType w:val="hybridMultilevel"/>
    <w:tmpl w:val="5C6C2350"/>
    <w:lvl w:ilvl="0" w:tplc="29727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09D6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65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6B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66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C7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ADF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0B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B2C1B"/>
    <w:multiLevelType w:val="hybridMultilevel"/>
    <w:tmpl w:val="933A9BB2"/>
    <w:lvl w:ilvl="0" w:tplc="A6520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2176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4B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CF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690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E6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C2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C89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E7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70BD4"/>
    <w:multiLevelType w:val="hybridMultilevel"/>
    <w:tmpl w:val="D4B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EF"/>
    <w:rsid w:val="00002C46"/>
    <w:rsid w:val="000108D6"/>
    <w:rsid w:val="001539EF"/>
    <w:rsid w:val="001D4D62"/>
    <w:rsid w:val="002009AC"/>
    <w:rsid w:val="002841A0"/>
    <w:rsid w:val="002C1356"/>
    <w:rsid w:val="002F6487"/>
    <w:rsid w:val="0036789E"/>
    <w:rsid w:val="003C41DD"/>
    <w:rsid w:val="00404493"/>
    <w:rsid w:val="0048483A"/>
    <w:rsid w:val="005663B5"/>
    <w:rsid w:val="00642659"/>
    <w:rsid w:val="006D3469"/>
    <w:rsid w:val="00715E81"/>
    <w:rsid w:val="007476B7"/>
    <w:rsid w:val="007F5C38"/>
    <w:rsid w:val="00823980"/>
    <w:rsid w:val="00974F2A"/>
    <w:rsid w:val="00A30330"/>
    <w:rsid w:val="00B9603D"/>
    <w:rsid w:val="00D31FE5"/>
    <w:rsid w:val="00EB45B5"/>
    <w:rsid w:val="00EC3C53"/>
    <w:rsid w:val="00EE3C7D"/>
    <w:rsid w:val="00F03FD2"/>
    <w:rsid w:val="00F10224"/>
    <w:rsid w:val="00F41C7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03DE"/>
  <w15:chartTrackingRefBased/>
  <w15:docId w15:val="{6E89B288-F312-4C64-99EA-16B15692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Valdez</dc:creator>
  <cp:keywords/>
  <dc:description/>
  <cp:lastModifiedBy>Miklos Valdez</cp:lastModifiedBy>
  <cp:revision>3</cp:revision>
  <dcterms:created xsi:type="dcterms:W3CDTF">2020-10-16T15:43:00Z</dcterms:created>
  <dcterms:modified xsi:type="dcterms:W3CDTF">2020-10-16T15:58:00Z</dcterms:modified>
</cp:coreProperties>
</file>