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B45C" w14:textId="77777777" w:rsidR="0085508E" w:rsidRDefault="004C642E">
      <w:pPr>
        <w:jc w:val="center"/>
      </w:pPr>
      <w:r>
        <w:rPr>
          <w:noProof/>
        </w:rPr>
        <w:drawing>
          <wp:inline distT="0" distB="0" distL="0" distR="0" wp14:anchorId="6F79E9D9" wp14:editId="75D512C1">
            <wp:extent cx="2273935" cy="87439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935" cy="874395"/>
                    </a:xfrm>
                    <a:prstGeom prst="rect">
                      <a:avLst/>
                    </a:prstGeom>
                    <a:noFill/>
                    <a:ln>
                      <a:noFill/>
                    </a:ln>
                  </pic:spPr>
                </pic:pic>
              </a:graphicData>
            </a:graphic>
          </wp:inline>
        </w:drawing>
      </w:r>
    </w:p>
    <w:p w14:paraId="3618321F" w14:textId="77777777" w:rsidR="0085508E" w:rsidRPr="006E2F79" w:rsidRDefault="0085508E" w:rsidP="006E2F79">
      <w:pPr>
        <w:pBdr>
          <w:bottom w:val="single" w:sz="4" w:space="0" w:color="auto"/>
        </w:pBdr>
        <w:jc w:val="center"/>
        <w:rPr>
          <w:noProof/>
          <w:sz w:val="20"/>
          <w:szCs w:val="20"/>
        </w:rPr>
      </w:pPr>
      <w:r w:rsidRPr="006E2F79">
        <w:rPr>
          <w:noProof/>
          <w:sz w:val="20"/>
          <w:szCs w:val="20"/>
        </w:rPr>
        <w:t>665 Neal Drive, Unit #1</w:t>
      </w:r>
    </w:p>
    <w:p w14:paraId="59479D1C" w14:textId="77777777" w:rsidR="0085508E" w:rsidRPr="006E2F79" w:rsidRDefault="0085508E" w:rsidP="006E2F79">
      <w:pPr>
        <w:pBdr>
          <w:bottom w:val="single" w:sz="4" w:space="0" w:color="auto"/>
        </w:pBdr>
        <w:jc w:val="center"/>
        <w:rPr>
          <w:noProof/>
          <w:sz w:val="20"/>
          <w:szCs w:val="20"/>
        </w:rPr>
      </w:pPr>
      <w:r w:rsidRPr="006E2F79">
        <w:rPr>
          <w:noProof/>
          <w:sz w:val="20"/>
          <w:szCs w:val="20"/>
        </w:rPr>
        <w:t>Peterborough, ON</w:t>
      </w:r>
    </w:p>
    <w:p w14:paraId="2B6330D0" w14:textId="77777777" w:rsidR="0085508E" w:rsidRPr="006E2F79" w:rsidRDefault="0085508E" w:rsidP="006E2F79">
      <w:pPr>
        <w:pBdr>
          <w:bottom w:val="single" w:sz="4" w:space="0" w:color="auto"/>
        </w:pBdr>
        <w:jc w:val="center"/>
        <w:rPr>
          <w:noProof/>
          <w:sz w:val="20"/>
          <w:szCs w:val="20"/>
        </w:rPr>
      </w:pPr>
      <w:r w:rsidRPr="006E2F79">
        <w:rPr>
          <w:noProof/>
          <w:sz w:val="20"/>
          <w:szCs w:val="20"/>
        </w:rPr>
        <w:t>K9J 6X7</w:t>
      </w:r>
    </w:p>
    <w:p w14:paraId="175455C9" w14:textId="77777777" w:rsidR="0085508E" w:rsidRPr="00F35549" w:rsidRDefault="0085508E" w:rsidP="006E2F79">
      <w:pPr>
        <w:pBdr>
          <w:bottom w:val="single" w:sz="4" w:space="0" w:color="auto"/>
        </w:pBdr>
        <w:jc w:val="center"/>
        <w:rPr>
          <w:rFonts w:ascii="Calibri" w:hAnsi="Calibri"/>
          <w:sz w:val="20"/>
          <w:szCs w:val="20"/>
        </w:rPr>
      </w:pPr>
      <w:r w:rsidRPr="00F35549">
        <w:rPr>
          <w:rFonts w:ascii="Calibri" w:hAnsi="Calibri"/>
          <w:noProof/>
          <w:sz w:val="20"/>
          <w:szCs w:val="20"/>
        </w:rPr>
        <w:t>705-745-5377 ex. 2</w:t>
      </w:r>
      <w:r w:rsidR="006130CD" w:rsidRPr="00F35549">
        <w:rPr>
          <w:rFonts w:ascii="Calibri" w:hAnsi="Calibri"/>
          <w:noProof/>
          <w:sz w:val="20"/>
          <w:szCs w:val="20"/>
        </w:rPr>
        <w:t>00</w:t>
      </w:r>
      <w:r w:rsidRPr="00F35549">
        <w:rPr>
          <w:rFonts w:ascii="Calibri" w:hAnsi="Calibri"/>
          <w:sz w:val="20"/>
          <w:szCs w:val="20"/>
        </w:rPr>
        <w:t xml:space="preserve"> ▪ </w:t>
      </w:r>
      <w:r w:rsidRPr="00F35549">
        <w:rPr>
          <w:rFonts w:ascii="Calibri" w:hAnsi="Calibri"/>
          <w:noProof/>
          <w:sz w:val="20"/>
          <w:szCs w:val="20"/>
        </w:rPr>
        <w:t>www.kawarthafoodshare.com</w:t>
      </w:r>
    </w:p>
    <w:p w14:paraId="196BB8AB" w14:textId="77777777" w:rsidR="006E2F79" w:rsidRPr="00F35549" w:rsidRDefault="006E2F79" w:rsidP="006E2F79">
      <w:pPr>
        <w:rPr>
          <w:rFonts w:ascii="Calibri" w:hAnsi="Calibri"/>
          <w:sz w:val="22"/>
          <w:szCs w:val="22"/>
        </w:rPr>
      </w:pPr>
    </w:p>
    <w:p w14:paraId="2198AD40" w14:textId="77777777" w:rsidR="0085508E" w:rsidRDefault="0085508E">
      <w:pPr>
        <w:sectPr w:rsidR="0085508E" w:rsidSect="008754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docGrid w:linePitch="360"/>
        </w:sectPr>
      </w:pPr>
    </w:p>
    <w:p w14:paraId="5A951AAF" w14:textId="77777777" w:rsidR="0030475B" w:rsidRPr="000031EB" w:rsidRDefault="0030475B" w:rsidP="0030475B">
      <w:pPr>
        <w:rPr>
          <w:rFonts w:asciiTheme="majorHAnsi" w:eastAsiaTheme="majorEastAsia" w:hAnsiTheme="majorHAnsi" w:cstheme="majorBidi"/>
          <w:color w:val="4F81BD" w:themeColor="accent1"/>
          <w:sz w:val="40"/>
          <w:szCs w:val="40"/>
          <w:highlight w:val="yellow"/>
        </w:rPr>
      </w:pPr>
      <w:r w:rsidRPr="000031EB">
        <w:rPr>
          <w:rFonts w:asciiTheme="majorHAnsi" w:hAnsiTheme="majorHAnsi"/>
          <w:color w:val="4F81BD" w:themeColor="accent1"/>
          <w:sz w:val="40"/>
          <w:szCs w:val="40"/>
        </w:rPr>
        <w:t>Access to Services</w:t>
      </w:r>
    </w:p>
    <w:p w14:paraId="252D9992" w14:textId="77777777" w:rsidR="0030475B" w:rsidRDefault="0030475B" w:rsidP="0030475B"/>
    <w:p w14:paraId="61694264" w14:textId="77777777" w:rsidR="0030475B" w:rsidRPr="005D23B0" w:rsidRDefault="0030475B" w:rsidP="0030475B">
      <w:pPr>
        <w:rPr>
          <w:b/>
          <w:bCs/>
        </w:rPr>
      </w:pPr>
      <w:r w:rsidRPr="005D23B0">
        <w:rPr>
          <w:b/>
          <w:bCs/>
        </w:rPr>
        <w:t>Policy Statement</w:t>
      </w:r>
    </w:p>
    <w:p w14:paraId="1E24D3B1" w14:textId="77777777" w:rsidR="0030475B" w:rsidRDefault="0030475B" w:rsidP="0030475B">
      <w:pPr>
        <w:ind w:left="709"/>
      </w:pPr>
      <w:r>
        <w:t>KFS is committed to providing a</w:t>
      </w:r>
      <w:r w:rsidRPr="005D23B0">
        <w:t xml:space="preserve">ll core food-support services to </w:t>
      </w:r>
      <w:r>
        <w:t xml:space="preserve">participating agencies and their clients </w:t>
      </w:r>
      <w:r w:rsidRPr="005D23B0">
        <w:t>at no financial cost and without being implicitly/explicitly tied to other conditions (e.g., volunteer participation, donation requirements, engagement in faith-based activities, etc.).</w:t>
      </w:r>
    </w:p>
    <w:p w14:paraId="05D9ED38" w14:textId="77777777" w:rsidR="0030475B" w:rsidRDefault="0030475B" w:rsidP="0030475B">
      <w:pPr>
        <w:ind w:left="709"/>
      </w:pPr>
    </w:p>
    <w:p w14:paraId="146E2E80" w14:textId="77777777" w:rsidR="0030475B" w:rsidRPr="005D23B0" w:rsidRDefault="0030475B" w:rsidP="0030475B">
      <w:pPr>
        <w:rPr>
          <w:b/>
          <w:bCs/>
        </w:rPr>
      </w:pPr>
      <w:r w:rsidRPr="005D23B0">
        <w:rPr>
          <w:b/>
          <w:bCs/>
        </w:rPr>
        <w:t>Procedure</w:t>
      </w:r>
    </w:p>
    <w:p w14:paraId="61FA9DF8" w14:textId="77777777" w:rsidR="0030475B" w:rsidRDefault="0030475B" w:rsidP="0030475B">
      <w:pPr>
        <w:ind w:left="709"/>
      </w:pPr>
      <w:r>
        <w:t>The Ethical Food Banking Code which includes this provision is posted publicly.</w:t>
      </w:r>
    </w:p>
    <w:p w14:paraId="668B1925" w14:textId="77777777" w:rsidR="0030475B" w:rsidRDefault="0030475B" w:rsidP="0030475B"/>
    <w:p w14:paraId="0150896C" w14:textId="77777777" w:rsidR="0030475B" w:rsidRPr="000031EB" w:rsidRDefault="0030475B" w:rsidP="0030475B">
      <w:pPr>
        <w:rPr>
          <w:color w:val="4F81BD" w:themeColor="accent1"/>
          <w:sz w:val="40"/>
          <w:szCs w:val="40"/>
        </w:rPr>
      </w:pPr>
      <w:r w:rsidRPr="000031EB">
        <w:rPr>
          <w:rFonts w:asciiTheme="majorHAnsi" w:hAnsiTheme="majorHAnsi" w:cstheme="majorHAnsi"/>
          <w:color w:val="4F81BD" w:themeColor="accent1"/>
          <w:sz w:val="40"/>
          <w:szCs w:val="40"/>
        </w:rPr>
        <w:t>Accessibility for People with Disabilities</w:t>
      </w:r>
    </w:p>
    <w:p w14:paraId="09B493B5" w14:textId="77777777" w:rsidR="0030475B" w:rsidRPr="00324B6E" w:rsidRDefault="0030475B" w:rsidP="0030475B">
      <w:pPr>
        <w:rPr>
          <w:rFonts w:cstheme="majorHAnsi"/>
          <w:b/>
          <w:bCs/>
        </w:rPr>
      </w:pPr>
    </w:p>
    <w:p w14:paraId="6F934551" w14:textId="77777777" w:rsidR="0030475B" w:rsidRPr="00324B6E" w:rsidRDefault="0030475B" w:rsidP="0030475B">
      <w:pPr>
        <w:rPr>
          <w:color w:val="000000"/>
        </w:rPr>
      </w:pPr>
      <w:r w:rsidRPr="00324B6E">
        <w:rPr>
          <w:color w:val="000000"/>
        </w:rPr>
        <w:t>Kawartha Food Share is committed to identifying, removing, and preventing barriers to accessibility and ensuring compliance with all applicable accessibility, employment, and health and safety legislation, including the Accessibility for Ontarians with Disabilities Act (AODA) and related standards. The organization will maintain and publicly share accessibility policies and procedures that comply with legislative requirements and demonstrate accountability, transparency, and continuous improvement. This policy applies to all KFS employees, Board members, volunteers, member agencies, and any individuals interacting with the organization.</w:t>
      </w:r>
    </w:p>
    <w:p w14:paraId="7FD73377" w14:textId="77777777" w:rsidR="0030475B" w:rsidRPr="00324B6E" w:rsidRDefault="0030475B" w:rsidP="0030475B">
      <w:pPr>
        <w:pStyle w:val="Heading3"/>
        <w:rPr>
          <w:color w:val="000000"/>
          <w:sz w:val="24"/>
          <w:szCs w:val="24"/>
        </w:rPr>
      </w:pPr>
      <w:r w:rsidRPr="00324B6E">
        <w:rPr>
          <w:rStyle w:val="Strong"/>
          <w:b w:val="0"/>
          <w:bCs w:val="0"/>
          <w:color w:val="000000"/>
          <w:sz w:val="24"/>
          <w:szCs w:val="24"/>
        </w:rPr>
        <w:t>Compliance with Legislation</w:t>
      </w:r>
    </w:p>
    <w:p w14:paraId="7DDE4833" w14:textId="77777777" w:rsidR="0030475B" w:rsidRPr="00324B6E" w:rsidRDefault="0030475B" w:rsidP="0030475B">
      <w:pPr>
        <w:pStyle w:val="NormalWeb"/>
        <w:rPr>
          <w:rFonts w:asciiTheme="minorHAnsi" w:hAnsiTheme="minorHAnsi"/>
          <w:color w:val="000000"/>
        </w:rPr>
      </w:pPr>
      <w:r w:rsidRPr="00324B6E">
        <w:rPr>
          <w:rFonts w:asciiTheme="minorHAnsi" w:hAnsiTheme="minorHAnsi"/>
          <w:color w:val="000000"/>
        </w:rPr>
        <w:t>This policy is developed and maintained in accordance with:</w:t>
      </w:r>
    </w:p>
    <w:p w14:paraId="5384C2FD" w14:textId="77777777" w:rsidR="0030475B" w:rsidRPr="00324B6E" w:rsidRDefault="0030475B" w:rsidP="0030475B">
      <w:pPr>
        <w:numPr>
          <w:ilvl w:val="0"/>
          <w:numId w:val="2"/>
        </w:numPr>
        <w:spacing w:before="100" w:beforeAutospacing="1" w:after="100" w:afterAutospacing="1"/>
        <w:rPr>
          <w:color w:val="000000"/>
        </w:rPr>
      </w:pPr>
      <w:r w:rsidRPr="00324B6E">
        <w:rPr>
          <w:color w:val="000000"/>
        </w:rPr>
        <w:t>Accessibility for Ontarians with Disabilities Act (AODA)</w:t>
      </w:r>
    </w:p>
    <w:p w14:paraId="2739447F" w14:textId="77777777" w:rsidR="0030475B" w:rsidRPr="00324B6E" w:rsidRDefault="0030475B" w:rsidP="0030475B">
      <w:pPr>
        <w:numPr>
          <w:ilvl w:val="0"/>
          <w:numId w:val="2"/>
        </w:numPr>
        <w:spacing w:before="100" w:beforeAutospacing="1" w:after="100" w:afterAutospacing="1"/>
        <w:rPr>
          <w:color w:val="000000"/>
        </w:rPr>
      </w:pPr>
      <w:r w:rsidRPr="00324B6E">
        <w:rPr>
          <w:color w:val="000000"/>
        </w:rPr>
        <w:t>Ontario Human Rights Code</w:t>
      </w:r>
    </w:p>
    <w:p w14:paraId="5B0574C8" w14:textId="77777777" w:rsidR="0030475B" w:rsidRPr="00324B6E" w:rsidRDefault="0030475B" w:rsidP="0030475B">
      <w:pPr>
        <w:numPr>
          <w:ilvl w:val="0"/>
          <w:numId w:val="2"/>
        </w:numPr>
        <w:spacing w:before="100" w:beforeAutospacing="1" w:after="100" w:afterAutospacing="1"/>
        <w:rPr>
          <w:color w:val="000000"/>
        </w:rPr>
      </w:pPr>
      <w:r w:rsidRPr="00324B6E">
        <w:rPr>
          <w:color w:val="000000"/>
        </w:rPr>
        <w:t>Applicable employment standards legislation</w:t>
      </w:r>
    </w:p>
    <w:p w14:paraId="7B5E02C8" w14:textId="77777777" w:rsidR="0030475B" w:rsidRPr="00324B6E" w:rsidRDefault="0030475B" w:rsidP="0030475B">
      <w:pPr>
        <w:numPr>
          <w:ilvl w:val="0"/>
          <w:numId w:val="2"/>
        </w:numPr>
        <w:spacing w:before="100" w:beforeAutospacing="1" w:after="100" w:afterAutospacing="1"/>
        <w:rPr>
          <w:color w:val="000000"/>
        </w:rPr>
      </w:pPr>
      <w:r w:rsidRPr="00324B6E">
        <w:rPr>
          <w:color w:val="000000"/>
        </w:rPr>
        <w:t>Occupational Health and Safety requirements</w:t>
      </w:r>
    </w:p>
    <w:p w14:paraId="609DA299" w14:textId="77777777" w:rsidR="0030475B" w:rsidRPr="005F2115" w:rsidRDefault="0030475B" w:rsidP="0030475B">
      <w:pPr>
        <w:spacing w:before="100" w:beforeAutospacing="1" w:after="100" w:afterAutospacing="1"/>
        <w:outlineLvl w:val="2"/>
        <w:rPr>
          <w:rFonts w:ascii="Calibri" w:hAnsi="Calibri" w:cs="Calibri"/>
          <w:b/>
          <w:bCs/>
          <w:color w:val="000000"/>
        </w:rPr>
      </w:pPr>
      <w:r w:rsidRPr="005F2115">
        <w:rPr>
          <w:rFonts w:ascii="Calibri" w:hAnsi="Calibri" w:cs="Calibri"/>
          <w:b/>
          <w:bCs/>
          <w:color w:val="000000"/>
        </w:rPr>
        <w:t>Procedures and Oversight</w:t>
      </w:r>
    </w:p>
    <w:p w14:paraId="1A73AFA9" w14:textId="77777777" w:rsidR="0030475B" w:rsidRPr="005F2115" w:rsidRDefault="0030475B" w:rsidP="0030475B">
      <w:pPr>
        <w:numPr>
          <w:ilvl w:val="0"/>
          <w:numId w:val="1"/>
        </w:numPr>
        <w:spacing w:before="100" w:beforeAutospacing="1" w:after="100" w:afterAutospacing="1"/>
        <w:rPr>
          <w:rFonts w:ascii="Calibri" w:hAnsi="Calibri" w:cs="Calibri"/>
          <w:color w:val="000000"/>
        </w:rPr>
      </w:pPr>
      <w:r w:rsidRPr="005F2115">
        <w:rPr>
          <w:rFonts w:ascii="Calibri" w:hAnsi="Calibri" w:cs="Calibri"/>
          <w:b/>
          <w:bCs/>
          <w:color w:val="000000"/>
        </w:rPr>
        <w:t>Policy Development and Review</w:t>
      </w:r>
    </w:p>
    <w:p w14:paraId="6326A555"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t>KFS will maintain written accessibility policies and procedures that reflect current legislative requirements and best practices.</w:t>
      </w:r>
    </w:p>
    <w:p w14:paraId="5CA19DE5"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lastRenderedPageBreak/>
        <w:t>Policies will be reviewed at least annually by the General Manager, with input from staff and the Board of Directors as needed.</w:t>
      </w:r>
    </w:p>
    <w:p w14:paraId="3F33493C"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t>Updates will be made to ensure ongoing compliance with employment standards, customer service standards, and workplace health and safety requirements.</w:t>
      </w:r>
    </w:p>
    <w:p w14:paraId="2D8D63FB" w14:textId="77777777" w:rsidR="0030475B" w:rsidRPr="005F2115" w:rsidRDefault="0030475B" w:rsidP="0030475B">
      <w:pPr>
        <w:numPr>
          <w:ilvl w:val="0"/>
          <w:numId w:val="1"/>
        </w:numPr>
        <w:spacing w:before="100" w:beforeAutospacing="1" w:after="100" w:afterAutospacing="1"/>
        <w:rPr>
          <w:rFonts w:ascii="Calibri" w:hAnsi="Calibri" w:cs="Calibri"/>
          <w:color w:val="000000"/>
        </w:rPr>
      </w:pPr>
      <w:r w:rsidRPr="005F2115">
        <w:rPr>
          <w:rFonts w:ascii="Calibri" w:hAnsi="Calibri" w:cs="Calibri"/>
          <w:b/>
          <w:bCs/>
          <w:color w:val="000000"/>
        </w:rPr>
        <w:t>Oversight and Accountability</w:t>
      </w:r>
    </w:p>
    <w:p w14:paraId="24415E37"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t>The General Manager is responsible for overseeing accessibility compliance and implementation.</w:t>
      </w:r>
    </w:p>
    <w:p w14:paraId="7AC82923"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t>The Board of Directors will receive updates, as required, to ensure governance oversight.</w:t>
      </w:r>
    </w:p>
    <w:p w14:paraId="6BDF16A7"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t>The General Manager will ensure that accessibility considerations are integrated into operational planning, hiring practices, volunteer engagement, and service delivery.</w:t>
      </w:r>
    </w:p>
    <w:p w14:paraId="6874F6EE" w14:textId="77777777" w:rsidR="0030475B" w:rsidRPr="005F2115" w:rsidRDefault="0030475B" w:rsidP="0030475B">
      <w:pPr>
        <w:numPr>
          <w:ilvl w:val="0"/>
          <w:numId w:val="1"/>
        </w:numPr>
        <w:spacing w:before="100" w:beforeAutospacing="1" w:after="100" w:afterAutospacing="1"/>
        <w:rPr>
          <w:rFonts w:ascii="Calibri" w:hAnsi="Calibri" w:cs="Calibri"/>
          <w:color w:val="000000"/>
        </w:rPr>
      </w:pPr>
      <w:r w:rsidRPr="005F2115">
        <w:rPr>
          <w:rFonts w:ascii="Calibri" w:hAnsi="Calibri" w:cs="Calibri"/>
          <w:b/>
          <w:bCs/>
          <w:color w:val="000000"/>
        </w:rPr>
        <w:t>Accessibility Practices</w:t>
      </w:r>
      <w:r w:rsidRPr="005F2115">
        <w:rPr>
          <w:rFonts w:ascii="Calibri" w:hAnsi="Calibri" w:cs="Calibri"/>
          <w:color w:val="000000"/>
        </w:rPr>
        <w:br/>
        <w:t>K</w:t>
      </w:r>
      <w:r>
        <w:rPr>
          <w:rFonts w:ascii="Calibri" w:hAnsi="Calibri" w:cs="Calibri"/>
          <w:color w:val="000000"/>
        </w:rPr>
        <w:t>awartha Food Share</w:t>
      </w:r>
      <w:r w:rsidRPr="005F2115">
        <w:rPr>
          <w:rFonts w:ascii="Calibri" w:hAnsi="Calibri" w:cs="Calibri"/>
          <w:color w:val="000000"/>
        </w:rPr>
        <w:t xml:space="preserve"> will:</w:t>
      </w:r>
    </w:p>
    <w:p w14:paraId="6A3208D0"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t>Provide accessible customer service and accommodate individual needs to the best of its ability</w:t>
      </w:r>
    </w:p>
    <w:p w14:paraId="1C88F32C" w14:textId="77777777" w:rsidR="0030475B" w:rsidRPr="005F2115" w:rsidRDefault="0030475B" w:rsidP="0030475B">
      <w:pPr>
        <w:numPr>
          <w:ilvl w:val="1"/>
          <w:numId w:val="1"/>
        </w:numPr>
        <w:spacing w:before="100" w:beforeAutospacing="1" w:after="100" w:afterAutospacing="1"/>
        <w:rPr>
          <w:rFonts w:ascii="Calibri" w:hAnsi="Calibri" w:cs="Calibri"/>
          <w:color w:val="000000"/>
        </w:rPr>
      </w:pPr>
      <w:r w:rsidRPr="005F2115">
        <w:rPr>
          <w:rFonts w:ascii="Calibri" w:hAnsi="Calibri" w:cs="Calibri"/>
          <w:color w:val="000000"/>
        </w:rPr>
        <w:t>Ensure recruitment, hiring, and employment practices are inclusive and non-discriminatory</w:t>
      </w:r>
    </w:p>
    <w:p w14:paraId="4CE5B022"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Maintain a safe and accessible workplace in alignment with occupational health and safety requirements</w:t>
      </w:r>
    </w:p>
    <w:p w14:paraId="22A2D754"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Provide accommodations for employees, volunteers, and clients upon request</w:t>
      </w:r>
    </w:p>
    <w:p w14:paraId="5C2B7639"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Communicate in accessible formats where possible</w:t>
      </w:r>
    </w:p>
    <w:p w14:paraId="0A635834"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Promote dignity, independence, integration, and equal opportunity</w:t>
      </w:r>
    </w:p>
    <w:p w14:paraId="203B8129" w14:textId="77777777" w:rsidR="0030475B" w:rsidRPr="00344815" w:rsidRDefault="0030475B" w:rsidP="0030475B">
      <w:pPr>
        <w:numPr>
          <w:ilvl w:val="0"/>
          <w:numId w:val="1"/>
        </w:numPr>
        <w:spacing w:before="100" w:beforeAutospacing="1" w:after="100" w:afterAutospacing="1"/>
        <w:rPr>
          <w:rFonts w:cstheme="minorHAnsi"/>
          <w:color w:val="000000"/>
        </w:rPr>
      </w:pPr>
      <w:r w:rsidRPr="00344815">
        <w:rPr>
          <w:rFonts w:cstheme="minorHAnsi"/>
          <w:b/>
          <w:bCs/>
          <w:color w:val="000000"/>
        </w:rPr>
        <w:t>Training and Awareness</w:t>
      </w:r>
    </w:p>
    <w:p w14:paraId="25D6B333"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All employees and applicable volunteers will receive training on accessibility, including requirements under AODA and the Ontario Human Rights Code.</w:t>
      </w:r>
    </w:p>
    <w:p w14:paraId="38A572EF"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Training records will be maintained and updated as required.</w:t>
      </w:r>
    </w:p>
    <w:p w14:paraId="3E3718A3" w14:textId="77777777" w:rsidR="0030475B" w:rsidRPr="00344815" w:rsidRDefault="0030475B" w:rsidP="0030475B">
      <w:pPr>
        <w:numPr>
          <w:ilvl w:val="0"/>
          <w:numId w:val="1"/>
        </w:numPr>
        <w:spacing w:before="100" w:beforeAutospacing="1" w:after="100" w:afterAutospacing="1"/>
        <w:rPr>
          <w:rFonts w:cstheme="minorHAnsi"/>
          <w:color w:val="000000"/>
        </w:rPr>
      </w:pPr>
      <w:r w:rsidRPr="00344815">
        <w:rPr>
          <w:rFonts w:cstheme="minorHAnsi"/>
          <w:b/>
          <w:bCs/>
          <w:color w:val="000000"/>
        </w:rPr>
        <w:t>Feedback and Continuous Improvement</w:t>
      </w:r>
    </w:p>
    <w:p w14:paraId="62B8E893"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KFS will provide opportunities for feedback regarding accessibility barriers.</w:t>
      </w:r>
    </w:p>
    <w:p w14:paraId="6ABF348E" w14:textId="77777777" w:rsidR="0030475B" w:rsidRPr="00344815"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Feedback may be submitted verbally, in writing, or electronically.</w:t>
      </w:r>
    </w:p>
    <w:p w14:paraId="793B3555" w14:textId="3581E654" w:rsidR="0085508E" w:rsidRPr="0030475B" w:rsidRDefault="0030475B" w:rsidP="0030475B">
      <w:pPr>
        <w:numPr>
          <w:ilvl w:val="1"/>
          <w:numId w:val="1"/>
        </w:numPr>
        <w:spacing w:before="100" w:beforeAutospacing="1" w:after="100" w:afterAutospacing="1"/>
        <w:rPr>
          <w:rFonts w:cstheme="minorHAnsi"/>
          <w:color w:val="000000"/>
        </w:rPr>
      </w:pPr>
      <w:r w:rsidRPr="00344815">
        <w:rPr>
          <w:rFonts w:cstheme="minorHAnsi"/>
          <w:color w:val="000000"/>
        </w:rPr>
        <w:t>The organization will respond to feedback and take reasonable steps to address identified barriers.</w:t>
      </w:r>
    </w:p>
    <w:sectPr w:rsidR="0085508E" w:rsidRPr="0030475B" w:rsidSect="0030475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25CD" w14:textId="77777777" w:rsidR="002D429B" w:rsidRDefault="002D429B" w:rsidP="001A45F8">
      <w:r>
        <w:separator/>
      </w:r>
    </w:p>
  </w:endnote>
  <w:endnote w:type="continuationSeparator" w:id="0">
    <w:p w14:paraId="577EB4F0" w14:textId="77777777" w:rsidR="002D429B" w:rsidRDefault="002D429B" w:rsidP="001A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6D9" w14:textId="77777777" w:rsidR="0085508E" w:rsidRDefault="00855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8A" w14:textId="77777777" w:rsidR="0085508E" w:rsidRDefault="00855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79CA" w14:textId="77777777" w:rsidR="0085508E" w:rsidRDefault="0085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8EE3" w14:textId="77777777" w:rsidR="002D429B" w:rsidRDefault="002D429B" w:rsidP="001A45F8">
      <w:r>
        <w:separator/>
      </w:r>
    </w:p>
  </w:footnote>
  <w:footnote w:type="continuationSeparator" w:id="0">
    <w:p w14:paraId="7D94C817" w14:textId="77777777" w:rsidR="002D429B" w:rsidRDefault="002D429B" w:rsidP="001A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46A" w14:textId="77777777" w:rsidR="0085508E" w:rsidRDefault="00855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5CC1" w14:textId="77777777" w:rsidR="0085508E" w:rsidRDefault="0085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3CD0" w14:textId="77777777" w:rsidR="0085508E" w:rsidRDefault="0085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658"/>
    <w:multiLevelType w:val="multilevel"/>
    <w:tmpl w:val="E0CC7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042F5"/>
    <w:multiLevelType w:val="multilevel"/>
    <w:tmpl w:val="D0B6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18312">
    <w:abstractNumId w:val="0"/>
  </w:num>
  <w:num w:numId="2" w16cid:durableId="1675886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D"/>
    <w:rsid w:val="00037C1E"/>
    <w:rsid w:val="000B3590"/>
    <w:rsid w:val="000F078E"/>
    <w:rsid w:val="00114568"/>
    <w:rsid w:val="00131650"/>
    <w:rsid w:val="00147DBF"/>
    <w:rsid w:val="001610A3"/>
    <w:rsid w:val="001A45F8"/>
    <w:rsid w:val="001F4F40"/>
    <w:rsid w:val="00277E79"/>
    <w:rsid w:val="002D429B"/>
    <w:rsid w:val="002D7508"/>
    <w:rsid w:val="0030475B"/>
    <w:rsid w:val="00450166"/>
    <w:rsid w:val="00492ADA"/>
    <w:rsid w:val="004B3E80"/>
    <w:rsid w:val="004C642E"/>
    <w:rsid w:val="004D3873"/>
    <w:rsid w:val="00514958"/>
    <w:rsid w:val="00557526"/>
    <w:rsid w:val="005614D2"/>
    <w:rsid w:val="005B6E1F"/>
    <w:rsid w:val="005E6AA5"/>
    <w:rsid w:val="006130CD"/>
    <w:rsid w:val="006407F0"/>
    <w:rsid w:val="006451E2"/>
    <w:rsid w:val="00692D8F"/>
    <w:rsid w:val="006E2F79"/>
    <w:rsid w:val="00723E01"/>
    <w:rsid w:val="00770D24"/>
    <w:rsid w:val="00775EDE"/>
    <w:rsid w:val="00845D70"/>
    <w:rsid w:val="0085508E"/>
    <w:rsid w:val="008754D0"/>
    <w:rsid w:val="00932D90"/>
    <w:rsid w:val="009C604F"/>
    <w:rsid w:val="00A1686E"/>
    <w:rsid w:val="00A27629"/>
    <w:rsid w:val="00A778ED"/>
    <w:rsid w:val="00A8131A"/>
    <w:rsid w:val="00AC07D8"/>
    <w:rsid w:val="00C115E0"/>
    <w:rsid w:val="00C32B7C"/>
    <w:rsid w:val="00CC2D7F"/>
    <w:rsid w:val="00D918DD"/>
    <w:rsid w:val="00DC2CD4"/>
    <w:rsid w:val="00DD013C"/>
    <w:rsid w:val="00E46D06"/>
    <w:rsid w:val="00E95318"/>
    <w:rsid w:val="00ED6A72"/>
    <w:rsid w:val="00EF28BA"/>
    <w:rsid w:val="00F154C3"/>
    <w:rsid w:val="00F35549"/>
    <w:rsid w:val="00F8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E8CF4"/>
  <w15:docId w15:val="{10BBFA1E-84D6-D04B-BE40-9D629363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30475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6"/>
    <w:pPr>
      <w:keepNext/>
      <w:spacing w:before="0" w:after="0"/>
    </w:pPr>
    <w:rPr>
      <w:rFonts w:ascii="Arial" w:hAnsi="Arial"/>
      <w:sz w:val="24"/>
      <w:szCs w:val="24"/>
      <w:u w:val="single"/>
    </w:rPr>
  </w:style>
  <w:style w:type="paragraph" w:styleId="Header">
    <w:name w:val="header"/>
    <w:basedOn w:val="Normal"/>
    <w:link w:val="HeaderChar"/>
    <w:rsid w:val="001A45F8"/>
    <w:pPr>
      <w:tabs>
        <w:tab w:val="center" w:pos="4680"/>
        <w:tab w:val="right" w:pos="9360"/>
      </w:tabs>
    </w:pPr>
  </w:style>
  <w:style w:type="character" w:customStyle="1" w:styleId="HeaderChar">
    <w:name w:val="Header Char"/>
    <w:link w:val="Header"/>
    <w:rsid w:val="001A45F8"/>
    <w:rPr>
      <w:sz w:val="24"/>
      <w:szCs w:val="24"/>
    </w:rPr>
  </w:style>
  <w:style w:type="paragraph" w:styleId="Footer">
    <w:name w:val="footer"/>
    <w:basedOn w:val="Normal"/>
    <w:link w:val="FooterChar"/>
    <w:uiPriority w:val="99"/>
    <w:rsid w:val="001A45F8"/>
    <w:pPr>
      <w:tabs>
        <w:tab w:val="center" w:pos="4680"/>
        <w:tab w:val="right" w:pos="9360"/>
      </w:tabs>
    </w:pPr>
  </w:style>
  <w:style w:type="character" w:customStyle="1" w:styleId="FooterChar">
    <w:name w:val="Footer Char"/>
    <w:link w:val="Footer"/>
    <w:uiPriority w:val="99"/>
    <w:rsid w:val="001A45F8"/>
    <w:rPr>
      <w:sz w:val="24"/>
      <w:szCs w:val="24"/>
    </w:rPr>
  </w:style>
  <w:style w:type="paragraph" w:styleId="BalloonText">
    <w:name w:val="Balloon Text"/>
    <w:basedOn w:val="Normal"/>
    <w:link w:val="BalloonTextChar"/>
    <w:rsid w:val="00514958"/>
    <w:rPr>
      <w:rFonts w:ascii="Tahoma" w:hAnsi="Tahoma" w:cs="Tahoma"/>
      <w:sz w:val="16"/>
      <w:szCs w:val="16"/>
    </w:rPr>
  </w:style>
  <w:style w:type="character" w:customStyle="1" w:styleId="BalloonTextChar">
    <w:name w:val="Balloon Text Char"/>
    <w:link w:val="BalloonText"/>
    <w:rsid w:val="00514958"/>
    <w:rPr>
      <w:rFonts w:ascii="Tahoma" w:hAnsi="Tahoma" w:cs="Tahoma"/>
      <w:sz w:val="16"/>
      <w:szCs w:val="16"/>
    </w:rPr>
  </w:style>
  <w:style w:type="character" w:styleId="Hyperlink">
    <w:name w:val="Hyperlink"/>
    <w:uiPriority w:val="99"/>
    <w:unhideWhenUsed/>
    <w:rsid w:val="00692D8F"/>
    <w:rPr>
      <w:color w:val="0000FF"/>
      <w:u w:val="single"/>
    </w:rPr>
  </w:style>
  <w:style w:type="table" w:styleId="TableGrid">
    <w:name w:val="Table Grid"/>
    <w:basedOn w:val="TableNormal"/>
    <w:rsid w:val="0072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42E"/>
    <w:pPr>
      <w:spacing w:before="100" w:beforeAutospacing="1" w:after="100" w:afterAutospacing="1"/>
    </w:pPr>
    <w:rPr>
      <w:lang w:val="en-CA"/>
    </w:rPr>
  </w:style>
  <w:style w:type="character" w:customStyle="1" w:styleId="Heading3Char">
    <w:name w:val="Heading 3 Char"/>
    <w:basedOn w:val="DefaultParagraphFont"/>
    <w:link w:val="Heading3"/>
    <w:uiPriority w:val="9"/>
    <w:rsid w:val="0030475B"/>
    <w:rPr>
      <w:rFonts w:asciiTheme="minorHAnsi" w:eastAsiaTheme="majorEastAsia" w:hAnsiTheme="minorHAnsi" w:cstheme="majorBidi"/>
      <w:color w:val="365F91" w:themeColor="accent1" w:themeShade="BF"/>
      <w:sz w:val="28"/>
      <w:szCs w:val="28"/>
    </w:rPr>
  </w:style>
  <w:style w:type="character" w:styleId="Strong">
    <w:name w:val="Strong"/>
    <w:basedOn w:val="DefaultParagraphFont"/>
    <w:uiPriority w:val="22"/>
    <w:qFormat/>
    <w:rsid w:val="00304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Intuit, Inc.</dc:creator>
  <cp:lastModifiedBy>Ashlee Aitken</cp:lastModifiedBy>
  <cp:revision>2</cp:revision>
  <cp:lastPrinted>2016-10-28T17:12:00Z</cp:lastPrinted>
  <dcterms:created xsi:type="dcterms:W3CDTF">2026-03-31T15:55:00Z</dcterms:created>
  <dcterms:modified xsi:type="dcterms:W3CDTF">2026-03-31T15:55:00Z</dcterms:modified>
</cp:coreProperties>
</file>